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63DE" w:rsidRPr="00A821BB" w:rsidRDefault="004A63DE" w:rsidP="004A63DE">
      <w:pPr>
        <w:outlineLvl w:val="4"/>
        <w:rPr>
          <w:bCs/>
          <w:i/>
        </w:rPr>
      </w:pPr>
      <w:bookmarkStart w:id="0" w:name="_GoBack"/>
      <w:bookmarkEnd w:id="0"/>
      <w:r w:rsidRPr="00A821BB">
        <w:rPr>
          <w:bCs/>
          <w:i/>
        </w:rPr>
        <w:t>Federal Revision Date:</w:t>
      </w:r>
      <w:r>
        <w:rPr>
          <w:bCs/>
          <w:i/>
        </w:rPr>
        <w:t xml:space="preserve">  April 20, 2006</w:t>
      </w:r>
    </w:p>
    <w:p w:rsidR="004A63DE" w:rsidRDefault="004A63DE">
      <w:pPr>
        <w:rPr>
          <w:b/>
          <w:sz w:val="24"/>
          <w:szCs w:val="24"/>
        </w:rPr>
      </w:pPr>
    </w:p>
    <w:p w:rsidR="004A63DE" w:rsidRPr="004A63DE" w:rsidRDefault="004A63DE" w:rsidP="004A63DE">
      <w:pPr>
        <w:rPr>
          <w:b/>
          <w:bCs/>
        </w:rPr>
      </w:pPr>
      <w:r w:rsidRPr="004A63DE">
        <w:rPr>
          <w:b/>
          <w:bCs/>
        </w:rPr>
        <w:t>Subpart AA—National Emission Standards for</w:t>
      </w:r>
      <w:r>
        <w:rPr>
          <w:b/>
          <w:bCs/>
        </w:rPr>
        <w:t xml:space="preserve"> Hazardous Air Pollutants </w:t>
      </w:r>
      <w:r w:rsidR="00DF0F1B">
        <w:rPr>
          <w:b/>
          <w:bCs/>
        </w:rPr>
        <w:t>f</w:t>
      </w:r>
      <w:r>
        <w:rPr>
          <w:b/>
          <w:bCs/>
        </w:rPr>
        <w:t xml:space="preserve">rom </w:t>
      </w:r>
      <w:r w:rsidRPr="004A63DE">
        <w:rPr>
          <w:b/>
          <w:bCs/>
        </w:rPr>
        <w:t>Phosphoric Acid Manufacturing Plants</w:t>
      </w:r>
    </w:p>
    <w:p w:rsidR="001B2121" w:rsidRDefault="001B2121">
      <w:pPr>
        <w:jc w:val="both"/>
        <w:rPr>
          <w:b/>
          <w:sz w:val="24"/>
          <w:szCs w:val="24"/>
        </w:rPr>
      </w:pPr>
    </w:p>
    <w:p w:rsidR="00A11312" w:rsidRPr="00A11312" w:rsidRDefault="00A11312" w:rsidP="00A11312">
      <w:pPr>
        <w:jc w:val="center"/>
      </w:pPr>
      <w:r w:rsidRPr="00A11312">
        <w:t>GENERAL</w:t>
      </w:r>
    </w:p>
    <w:p w:rsidR="001B2121" w:rsidRPr="004A63DE" w:rsidRDefault="001B2121">
      <w:pPr>
        <w:rPr>
          <w:b/>
        </w:rPr>
      </w:pPr>
      <w:r w:rsidRPr="004A63DE">
        <w:rPr>
          <w:b/>
        </w:rPr>
        <w:t>§ 63.600 Applicability.</w:t>
      </w:r>
    </w:p>
    <w:p w:rsidR="001B2121" w:rsidRPr="004A63DE" w:rsidRDefault="001B2121"/>
    <w:p w:rsidR="001B2121" w:rsidRPr="004A63DE" w:rsidRDefault="001B2121" w:rsidP="004A63DE">
      <w:pPr>
        <w:numPr>
          <w:ilvl w:val="0"/>
          <w:numId w:val="2"/>
        </w:numPr>
        <w:ind w:left="360"/>
      </w:pPr>
      <w:r w:rsidRPr="004A63DE">
        <w:t>Except as provided in paragraphs (c) and (d) of this section, the requirements of this subpart apply to the owner or operator of each phosphoric acid manufacturing plant.</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4A63DE">
      <w:pPr>
        <w:numPr>
          <w:ilvl w:val="0"/>
          <w:numId w:val="2"/>
        </w:numPr>
        <w:spacing w:after="60"/>
        <w:ind w:left="360"/>
      </w:pPr>
      <w:r w:rsidRPr="004A63DE">
        <w:t>The requirements of this subpart apply to emissions of hazardous air pollutants (HAPs) emitted from the following new or existing affected sources at a phosphoric acid manufacturing plant:</w:t>
      </w:r>
    </w:p>
    <w:p w:rsidR="004A63DE" w:rsidRDefault="001B2121" w:rsidP="004A63DE">
      <w:pPr>
        <w:numPr>
          <w:ilvl w:val="0"/>
          <w:numId w:val="6"/>
        </w:numPr>
        <w:spacing w:after="60"/>
      </w:pPr>
      <w:r w:rsidRPr="004A63DE">
        <w:t>Each wet-process phosphoric acid process line.  The requirements of this subpart apply to the following emission points which are components of a wet</w:t>
      </w:r>
      <w:r w:rsidRPr="004A63DE">
        <w:noBreakHyphen/>
        <w:t>process phosphoric acid process line: reactors, filters, evaporators, and hot wells;</w:t>
      </w:r>
    </w:p>
    <w:p w:rsidR="004A63DE" w:rsidRDefault="001B2121" w:rsidP="004A63DE">
      <w:pPr>
        <w:numPr>
          <w:ilvl w:val="0"/>
          <w:numId w:val="6"/>
        </w:numPr>
        <w:spacing w:after="60"/>
      </w:pPr>
      <w:r w:rsidRPr="004A63DE">
        <w:t>Each evaporative cooling tower at a phosphoric acid manufacturing plant;</w:t>
      </w:r>
    </w:p>
    <w:p w:rsidR="004A63DE" w:rsidRDefault="001B2121" w:rsidP="004A63DE">
      <w:pPr>
        <w:numPr>
          <w:ilvl w:val="0"/>
          <w:numId w:val="6"/>
        </w:numPr>
        <w:spacing w:after="60"/>
      </w:pPr>
      <w:r w:rsidRPr="004A63DE">
        <w:t>Each phosphate rock dryer located at a phosphoric acid manufacturing plant;</w:t>
      </w:r>
    </w:p>
    <w:p w:rsidR="001B2121" w:rsidRPr="004A63DE" w:rsidRDefault="001B2121" w:rsidP="004A63DE">
      <w:pPr>
        <w:numPr>
          <w:ilvl w:val="0"/>
          <w:numId w:val="6"/>
        </w:numPr>
        <w:spacing w:after="60"/>
      </w:pPr>
      <w:r w:rsidRPr="004A63DE">
        <w:t>Each phosphate rock calciner located at a phosphoric acid manufacturing plant;</w:t>
      </w:r>
    </w:p>
    <w:p w:rsidR="004A63DE" w:rsidRDefault="001B2121" w:rsidP="004A63DE">
      <w:pPr>
        <w:numPr>
          <w:ilvl w:val="0"/>
          <w:numId w:val="6"/>
        </w:numPr>
        <w:spacing w:after="60"/>
      </w:pPr>
      <w:r w:rsidRPr="004A63DE">
        <w:t>Each superphosphoric acid process line.  The requirements of this subpart apply to the following emission points which are components of a superphosphoric acid process line:  evaporators, hot wells, acid sumps, and cooling tanks; and</w:t>
      </w:r>
    </w:p>
    <w:p w:rsidR="001B2121" w:rsidRPr="004A63DE" w:rsidRDefault="001B2121" w:rsidP="00DF3669">
      <w:pPr>
        <w:numPr>
          <w:ilvl w:val="0"/>
          <w:numId w:val="6"/>
        </w:numPr>
      </w:pPr>
      <w:r w:rsidRPr="004A63DE">
        <w:t>Each purified acid process line.  The requirements of this subpart apply to the following emission points which are components of a purified phosphoric acid process line:  solvent extraction process equipment, solvent stripping and recovery equipment, seal tanks, carbon treatment equipment, cooling towers, storage tanks, pumps and process piping.</w:t>
      </w:r>
    </w:p>
    <w:p w:rsidR="001B2121" w:rsidRPr="004A63DE" w:rsidRDefault="001B2121">
      <w:pPr>
        <w:pStyle w:val="BodyTextIndent"/>
        <w:spacing w:line="240" w:lineRule="auto"/>
        <w:ind w:firstLine="0"/>
        <w:rPr>
          <w:sz w:val="20"/>
        </w:rPr>
      </w:pPr>
    </w:p>
    <w:p w:rsidR="001B2121" w:rsidRDefault="001B2121" w:rsidP="004A63DE">
      <w:pPr>
        <w:numPr>
          <w:ilvl w:val="0"/>
          <w:numId w:val="2"/>
        </w:numPr>
        <w:ind w:left="360"/>
      </w:pPr>
      <w:r w:rsidRPr="004A63DE">
        <w:t>The requirements of this subpart do not apply to the owner or operator of a new or existing phosphoric acid manufacturing plant that is not a major source as defined in § 63.2.</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4A63DE" w:rsidRDefault="001B2121" w:rsidP="004A63DE">
      <w:pPr>
        <w:numPr>
          <w:ilvl w:val="0"/>
          <w:numId w:val="2"/>
        </w:numPr>
        <w:ind w:left="360"/>
      </w:pPr>
      <w:r w:rsidRPr="004A63DE">
        <w:t xml:space="preserve">The provisions of this subpart do not apply to research and development facilities as defined in </w:t>
      </w:r>
      <w:r w:rsidRPr="004A63DE">
        <w:rPr>
          <w:b/>
        </w:rPr>
        <w:t>§</w:t>
      </w:r>
      <w:r w:rsidRPr="004A63DE">
        <w:t xml:space="preserve"> 63.601.</w:t>
      </w:r>
    </w:p>
    <w:p w:rsidR="004A63DE" w:rsidRDefault="004A63DE" w:rsidP="004A63DE">
      <w:pPr>
        <w:pStyle w:val="ListParagraph"/>
      </w:pPr>
    </w:p>
    <w:p w:rsidR="001B2121" w:rsidRPr="004A63DE" w:rsidRDefault="001B2121" w:rsidP="004A63DE">
      <w:pPr>
        <w:numPr>
          <w:ilvl w:val="0"/>
          <w:numId w:val="2"/>
        </w:numPr>
        <w:ind w:left="360"/>
      </w:pPr>
      <w:r w:rsidRPr="004A63DE">
        <w:t>The emission limitations and operating parameter requirements of this subpart do not apply during periods of startup, shutdown, or malfunction, as those terms are defined in Sec.  63.2, provided that the source is operated in accordance with Sec.  63.6(e)(1)(i).</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63.601  Definitions.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Terms used in this subpart are defined in the Clean Air Act, in § 63.2, or in this section as follows:</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u w:val="single"/>
        </w:rPr>
      </w:pPr>
      <w:r w:rsidRPr="004A63DE">
        <w:rPr>
          <w:u w:val="single"/>
        </w:rPr>
        <w:t>Equivalent P</w:t>
      </w:r>
      <w:r w:rsidRPr="004A63DE">
        <w:rPr>
          <w:u w:val="single"/>
          <w:vertAlign w:val="subscript"/>
        </w:rPr>
        <w:t>2</w:t>
      </w:r>
      <w:r w:rsidRPr="004A63DE">
        <w:rPr>
          <w:u w:val="single"/>
        </w:rPr>
        <w:t>O</w:t>
      </w:r>
      <w:r w:rsidRPr="004A63DE">
        <w:rPr>
          <w:u w:val="single"/>
          <w:vertAlign w:val="subscript"/>
        </w:rPr>
        <w:t>5</w:t>
      </w:r>
      <w:r w:rsidRPr="004A63DE">
        <w:rPr>
          <w:u w:val="single"/>
        </w:rPr>
        <w:t xml:space="preserve"> feed</w:t>
      </w:r>
      <w:r w:rsidRPr="004A63DE">
        <w:t xml:space="preserve"> means the quantity of phosphorus, expressed as phosphorous pentoxide, fed to the process. </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Evaporative cooling tower</w:t>
      </w:r>
      <w:r w:rsidRPr="004A63DE">
        <w:t xml:space="preserve"> means an open water recirculating device that uses fans or natural draft to draw or force ambient air through the device to remove heat from process water by direct contact.</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Exceedance</w:t>
      </w:r>
      <w:r w:rsidRPr="004A63DE">
        <w:t xml:space="preserve"> means a departure from an indicator range established under this subpart, consistent with any averaging period specified for averaging the results of the monitoring.</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HAP metals</w:t>
      </w:r>
      <w:r w:rsidRPr="004A63DE">
        <w:t xml:space="preserve"> mean those metals and their compounds (in particulate or volatile form) that are included on the list of hazardous air pollutants in section 112 of the Clean Air Act.  HAP metals include, but are not limited to:  antimony, arsenic, beryllium, cadmium, chromium, lead, manganese, nickel, and selenium expressed as particulate matter as measured by the methods and procedures in this subpart or an approved alternative method.  For the purposes of this subpart, HAP metals are expressed as particulate matter as measured by 40 CFR Part 60, Appendix A, Method 5. </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Phosphate rock calciner</w:t>
      </w:r>
      <w:r w:rsidRPr="004A63DE">
        <w:t xml:space="preserve"> means the equipment used to remove moisture and organic matter from phosphate rock through direct or indirect heating.</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Phosphate rock dryer</w:t>
      </w:r>
      <w:r w:rsidRPr="004A63DE">
        <w:t xml:space="preserve"> means the equipment used to reduce the moisture content of phosphate rock through direct or indirect heating.</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lastRenderedPageBreak/>
        <w:t>Phosphate rock feed</w:t>
      </w:r>
      <w:r w:rsidRPr="004A63DE">
        <w:t xml:space="preserve"> means all material entering any phosphate rock dryer or phosphate rock calciner including moisture and extraneous material as well as the following ore materials: fluorapatite, hydroxylapatite, chlorapatite, and carbonateapatite.</w:t>
      </w:r>
    </w:p>
    <w:p w:rsidR="001B2121"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Purified phosphoric acid process line</w:t>
      </w:r>
      <w:r w:rsidRPr="004A63DE">
        <w:t xml:space="preserve"> means any process line which uses a HAP as a solvent in the separation of impurities from the product acid for the purposes of rendering that product suitable for industrial, manufacturing or food grade uses.</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Research and development facility</w:t>
      </w:r>
      <w:r w:rsidRPr="004A63DE">
        <w:t xml:space="preserve"> means research or laboratory operations whose primary purpose is to conduct research and development into new processes and products, where the operations are under the close supervision of technically trained personnel, and where the facility is not engaged in the manufacture of products for commercial sale in commerce or other off-site distribution, except in a de minimis manner.</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Superphosphoric acid process line</w:t>
      </w:r>
      <w:r w:rsidRPr="004A63DE">
        <w:t xml:space="preserve"> means any process line which concentrates wet-process phosphoric acid to 66 percent or greater P</w:t>
      </w:r>
      <w:r w:rsidRPr="004A63DE">
        <w:rPr>
          <w:vertAlign w:val="subscript"/>
        </w:rPr>
        <w:t>2</w:t>
      </w:r>
      <w:r w:rsidRPr="004A63DE">
        <w:t>O</w:t>
      </w:r>
      <w:r w:rsidRPr="004A63DE">
        <w:rPr>
          <w:vertAlign w:val="subscript"/>
        </w:rPr>
        <w:t>5</w:t>
      </w:r>
      <w:r w:rsidRPr="004A63DE">
        <w:t xml:space="preserve"> content by weight.</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Total fluorides</w:t>
      </w:r>
      <w:r w:rsidRPr="004A63DE">
        <w:t xml:space="preserve"> means elemental fluorine and all fluoride compounds, including the HAP hydrogen fluoride, as measured by reference methods specified in 40 CFR Part 60,</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Appendix A , Method 13 A or B, or by equivalent or alternative methods approved by the Administrator pursuant to § 63.7(f).</w:t>
      </w:r>
    </w:p>
    <w:p w:rsidR="001B2121" w:rsidRPr="004A63DE" w:rsidRDefault="001B2121" w:rsidP="004A63D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Wet process phosphoric acid process line</w:t>
      </w:r>
      <w:r w:rsidRPr="004A63DE">
        <w:t xml:space="preserve"> means any process line manufacturing phosphoric acid by reacting phosphate rock and acid.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EMISSION STANDARDS AND OPERATING LIMITS</w:t>
      </w:r>
    </w:p>
    <w:p w:rsidR="00A11312" w:rsidRPr="004A63DE" w:rsidRDefault="00A113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63.602  Standards for existing sources.</w:t>
      </w:r>
    </w:p>
    <w:p w:rsidR="00594201" w:rsidRPr="004A63DE" w:rsidRDefault="0059420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1A27D0">
      <w:pPr>
        <w:numPr>
          <w:ilvl w:val="0"/>
          <w:numId w:val="7"/>
        </w:numPr>
      </w:pPr>
      <w:r w:rsidRPr="004A63DE">
        <w:rPr>
          <w:u w:val="single"/>
        </w:rPr>
        <w:t>Wet process phosphoric acid process line</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10.0 gram/metric ton of equivalent P</w:t>
      </w:r>
      <w:r w:rsidRPr="004A63DE">
        <w:rPr>
          <w:vertAlign w:val="subscript"/>
        </w:rPr>
        <w:t>2</w:t>
      </w:r>
      <w:r w:rsidRPr="004A63DE">
        <w:t>O</w:t>
      </w:r>
      <w:r w:rsidRPr="004A63DE">
        <w:rPr>
          <w:vertAlign w:val="subscript"/>
        </w:rPr>
        <w:t>5</w:t>
      </w:r>
      <w:r w:rsidRPr="004A63DE">
        <w:t xml:space="preserve"> feed (0.020 lb/ton).</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 </w:t>
      </w:r>
    </w:p>
    <w:p w:rsidR="001B2121" w:rsidRPr="004A63DE" w:rsidRDefault="001B2121" w:rsidP="00A11312">
      <w:pPr>
        <w:numPr>
          <w:ilvl w:val="0"/>
          <w:numId w:val="7"/>
        </w:numPr>
        <w:spacing w:after="120"/>
      </w:pPr>
      <w:r w:rsidRPr="004A63DE">
        <w:rPr>
          <w:u w:val="single"/>
        </w:rPr>
        <w:t>Superphosphoric acid process line</w:t>
      </w:r>
      <w:r w:rsidRPr="004A63DE">
        <w:t>.</w:t>
      </w:r>
    </w:p>
    <w:p w:rsidR="001B2121" w:rsidRPr="004A63DE" w:rsidRDefault="001B2121" w:rsidP="00A11312">
      <w:pPr>
        <w:numPr>
          <w:ilvl w:val="0"/>
          <w:numId w:val="11"/>
        </w:numPr>
        <w:spacing w:after="120"/>
      </w:pPr>
      <w:r w:rsidRPr="004A63DE">
        <w:rPr>
          <w:u w:val="single"/>
        </w:rPr>
        <w:t>Vacuum evaporation process</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5.0 gram/metric ton of equivalent P</w:t>
      </w:r>
      <w:r w:rsidRPr="004A63DE">
        <w:rPr>
          <w:vertAlign w:val="subscript"/>
        </w:rPr>
        <w:t>2</w:t>
      </w:r>
      <w:r w:rsidRPr="004A63DE">
        <w:t>O</w:t>
      </w:r>
      <w:r w:rsidRPr="004A63DE">
        <w:rPr>
          <w:vertAlign w:val="subscript"/>
        </w:rPr>
        <w:t>5</w:t>
      </w:r>
      <w:r w:rsidRPr="004A63DE">
        <w:t xml:space="preserve"> feed (0.010 lb/ton).</w:t>
      </w:r>
    </w:p>
    <w:p w:rsidR="001B2121" w:rsidRDefault="001B2121" w:rsidP="00A11312">
      <w:pPr>
        <w:numPr>
          <w:ilvl w:val="0"/>
          <w:numId w:val="11"/>
        </w:numPr>
        <w:spacing w:after="120"/>
      </w:pPr>
      <w:r w:rsidRPr="004A63DE">
        <w:rPr>
          <w:u w:val="single"/>
        </w:rPr>
        <w:t>Submerged combustion process</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100.0 gram/metric ton of equivalent P</w:t>
      </w:r>
      <w:r w:rsidRPr="004A63DE">
        <w:rPr>
          <w:vertAlign w:val="subscript"/>
        </w:rPr>
        <w:t>2</w:t>
      </w:r>
      <w:r w:rsidRPr="004A63DE">
        <w:t>O</w:t>
      </w:r>
      <w:r w:rsidRPr="004A63DE">
        <w:rPr>
          <w:vertAlign w:val="subscript"/>
        </w:rPr>
        <w:t>5</w:t>
      </w:r>
      <w:r w:rsidRPr="004A63DE">
        <w:t xml:space="preserve"> feed (0.20 lb/ton).</w:t>
      </w:r>
    </w:p>
    <w:p w:rsidR="001B2121" w:rsidRPr="004A63DE" w:rsidRDefault="001B2121" w:rsidP="001A27D0">
      <w:pPr>
        <w:numPr>
          <w:ilvl w:val="0"/>
          <w:numId w:val="7"/>
        </w:numPr>
      </w:pPr>
      <w:r w:rsidRPr="004A63DE">
        <w:rPr>
          <w:u w:val="single"/>
        </w:rPr>
        <w:t>Phosphate rock dryer</w:t>
      </w:r>
      <w:r w:rsidRPr="004A63DE">
        <w:t>.  On or after the date on which the performance test required to be conducted by §§ 63.7 and 63.606 is required to be completed, no owner or operator subject to the provisions of this subpart shall cause to be discharged into the atmosphere from any affected source any gases which contain particulate matter in excess of 0.10750 kilogram/metric ton of phosphate rock feed (0.2150 lb/ton).</w:t>
      </w:r>
    </w:p>
    <w:p w:rsidR="001B2121" w:rsidRPr="004A63DE" w:rsidRDefault="001B2121" w:rsidP="001A27D0"/>
    <w:p w:rsidR="001B2121" w:rsidRPr="001A27D0" w:rsidRDefault="001B2121" w:rsidP="001A27D0">
      <w:pPr>
        <w:pStyle w:val="HTMLPreformatted"/>
        <w:numPr>
          <w:ilvl w:val="0"/>
          <w:numId w:val="7"/>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rPr>
      </w:pPr>
      <w:r w:rsidRPr="004A63DE">
        <w:rPr>
          <w:rFonts w:ascii="Times New Roman" w:hAnsi="Times New Roman"/>
          <w:u w:val="single"/>
        </w:rPr>
        <w:t>Phosphate rock calciner.</w:t>
      </w:r>
      <w:r w:rsidRPr="004A63DE">
        <w:rPr>
          <w:rFonts w:ascii="Times New Roman" w:hAnsi="Times New Roman"/>
        </w:rPr>
        <w:t xml:space="preserve"> On or after the date on which the performance test required to be conducted by §§&amp;thnsp;63.7 and 63.606 is required to be completed, no owner or operator subject to </w:t>
      </w:r>
      <w:r w:rsidRPr="001A27D0">
        <w:rPr>
          <w:rFonts w:ascii="Times New Roman" w:hAnsi="Times New Roman"/>
        </w:rPr>
        <w:t>the provisions of this subpart shall cause to be discharged into the atmosphere from any affected source any gases which contain particulate matter in excess of 0.1810 gram per dry standard cubic meter (g/dscm)(0.080 grains per dry standard cubic foot (gr/dscf)).</w:t>
      </w:r>
    </w:p>
    <w:p w:rsidR="001B2121" w:rsidRPr="004A63DE" w:rsidRDefault="001B2121" w:rsidP="001A27D0"/>
    <w:p w:rsidR="001B2121" w:rsidRPr="004A63DE" w:rsidRDefault="001B2121" w:rsidP="001A27D0">
      <w:pPr>
        <w:numPr>
          <w:ilvl w:val="0"/>
          <w:numId w:val="7"/>
        </w:numPr>
      </w:pPr>
      <w:r w:rsidRPr="004A63DE">
        <w:rPr>
          <w:u w:val="single"/>
        </w:rPr>
        <w:t>Evaporative cooling tower</w:t>
      </w:r>
      <w:r w:rsidRPr="004A63DE">
        <w:t xml:space="preserve">.  No owner or operator shall introduce into any evaporative cooling tower any liquid effluent from any wet scrubbing device installed to control emissions from process equipment.  Each owner or operator of an affected source subject to this paragraph (e)  must certify to the Administrator annually that he/she has complied with the requirements contained herein. </w:t>
      </w:r>
    </w:p>
    <w:p w:rsidR="001B2121" w:rsidRPr="004A63DE" w:rsidRDefault="001B2121" w:rsidP="001A27D0"/>
    <w:p w:rsidR="001B2121" w:rsidRPr="004A63DE" w:rsidRDefault="001B2121" w:rsidP="001A27D0">
      <w:pPr>
        <w:numPr>
          <w:ilvl w:val="0"/>
          <w:numId w:val="7"/>
        </w:numPr>
      </w:pPr>
      <w:r w:rsidRPr="004A63DE">
        <w:rPr>
          <w:u w:val="single"/>
        </w:rPr>
        <w:t>Purified phosphoric acid process line</w:t>
      </w:r>
      <w:r w:rsidRPr="004A63DE">
        <w:t>.</w:t>
      </w:r>
    </w:p>
    <w:p w:rsidR="001B2121" w:rsidRDefault="001B2121" w:rsidP="00A11312">
      <w:pPr>
        <w:numPr>
          <w:ilvl w:val="0"/>
          <w:numId w:val="1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Each owner or operator subject to the provisions of this subpart shall comply with the provisions of subpart H of this part.</w:t>
      </w:r>
    </w:p>
    <w:p w:rsidR="001B2121" w:rsidRPr="004A63DE" w:rsidRDefault="001B2121" w:rsidP="00A11312">
      <w:pPr>
        <w:numPr>
          <w:ilvl w:val="0"/>
          <w:numId w:val="12"/>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For any existing purified phosphoric acid process line, any of the following shall constitute a violation of this subpart:</w:t>
      </w:r>
    </w:p>
    <w:p w:rsidR="001B2121" w:rsidRPr="004A63DE" w:rsidRDefault="001B2121" w:rsidP="001A27D0">
      <w:pPr>
        <w:numPr>
          <w:ilvl w:val="0"/>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 thirty day average of daily concentration measurements of methyl isobutyl ketone in excess of twenty parts per million for each product acid stream.</w:t>
      </w:r>
    </w:p>
    <w:p w:rsidR="001B2121" w:rsidRPr="004A63DE" w:rsidRDefault="001B2121" w:rsidP="001A27D0">
      <w:pPr>
        <w:numPr>
          <w:ilvl w:val="0"/>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 thirty day average of daily concentration measurements of methyl isobutyl ketone in excess of thirty parts per million for each raffinate stream.</w:t>
      </w:r>
    </w:p>
    <w:p w:rsidR="001B2121" w:rsidRPr="004A63DE" w:rsidRDefault="001B2121" w:rsidP="001A27D0">
      <w:pPr>
        <w:numPr>
          <w:ilvl w:val="0"/>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 daily average chiller stack exit gas stream temperature in excess of fifty degrees Fahrenheit.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63.603  Standards for new sources.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D4C9F" w:rsidRDefault="001B2121" w:rsidP="00CD4C9F">
      <w:pPr>
        <w:numPr>
          <w:ilvl w:val="0"/>
          <w:numId w:val="18"/>
        </w:numPr>
        <w:spacing w:after="120"/>
      </w:pPr>
      <w:r w:rsidRPr="00CD4C9F">
        <w:rPr>
          <w:u w:val="single"/>
        </w:rPr>
        <w:t>Wet process phosphoric acid process line</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6.750 gram/metric ton of equivalent P</w:t>
      </w:r>
      <w:r w:rsidRPr="00CD4C9F">
        <w:rPr>
          <w:vertAlign w:val="subscript"/>
        </w:rPr>
        <w:t>2</w:t>
      </w:r>
      <w:r w:rsidRPr="004A63DE">
        <w:t>O</w:t>
      </w:r>
      <w:r w:rsidRPr="00CD4C9F">
        <w:rPr>
          <w:vertAlign w:val="subscript"/>
        </w:rPr>
        <w:t>5</w:t>
      </w:r>
      <w:r w:rsidRPr="004A63DE">
        <w:t xml:space="preserve"> feed (0.01350 lb/ton).</w:t>
      </w:r>
    </w:p>
    <w:p w:rsidR="00CD4C9F" w:rsidRDefault="001B2121" w:rsidP="00CD4C9F">
      <w:pPr>
        <w:numPr>
          <w:ilvl w:val="0"/>
          <w:numId w:val="18"/>
        </w:numPr>
        <w:spacing w:after="120"/>
      </w:pPr>
      <w:r w:rsidRPr="00CD4C9F">
        <w:rPr>
          <w:u w:val="single"/>
        </w:rPr>
        <w:t>Superphosphoric acid process line</w:t>
      </w:r>
      <w:r w:rsidRPr="004A63DE">
        <w:t>.  On and after the date on which the performance test required to be conducted by §§ 63.7 and 63.606 is required to be completed, no owner or operator subject to the provisions of this subpart shall cause to be discharged into the atmosphere from any affected source any gases which contain total fluorides in excess of 4.350 gram/metric ton of equivalent P</w:t>
      </w:r>
      <w:r w:rsidRPr="00CD4C9F">
        <w:rPr>
          <w:vertAlign w:val="subscript"/>
        </w:rPr>
        <w:t>2</w:t>
      </w:r>
      <w:r w:rsidRPr="004A63DE">
        <w:t>O</w:t>
      </w:r>
      <w:r w:rsidRPr="00CD4C9F">
        <w:rPr>
          <w:vertAlign w:val="subscript"/>
        </w:rPr>
        <w:t>5</w:t>
      </w:r>
      <w:r w:rsidRPr="004A63DE">
        <w:t xml:space="preserve"> feed (0.00870 lb/ton).</w:t>
      </w:r>
    </w:p>
    <w:p w:rsidR="00CD4C9F" w:rsidRDefault="00CD4C9F" w:rsidP="00CD4C9F">
      <w:pPr>
        <w:numPr>
          <w:ilvl w:val="0"/>
          <w:numId w:val="18"/>
        </w:numPr>
        <w:spacing w:after="120"/>
      </w:pPr>
      <w:r>
        <w:t xml:space="preserve"> </w:t>
      </w:r>
      <w:r w:rsidR="001B2121" w:rsidRPr="00CD4C9F">
        <w:rPr>
          <w:u w:val="single"/>
        </w:rPr>
        <w:t>Phosphate rock dryer</w:t>
      </w:r>
      <w:r w:rsidR="001B2121" w:rsidRPr="004A63DE">
        <w:t>.  On or after the date on which the performance test required to be conducted by §§ 63.7 and 63.606 is required to be completed, no owner or operator subject to the provisions of this subpart shall cause to be discharged into the atmosphere from any affected source any gases which contain particulate matter in excess of 0.030 kilogram/metric ton per megagram of phosphate rock feed (0.060 lb/ton).</w:t>
      </w:r>
      <w:r>
        <w:t xml:space="preserve"> </w:t>
      </w:r>
    </w:p>
    <w:p w:rsidR="00A11312" w:rsidRDefault="001B2121" w:rsidP="00A11312">
      <w:pPr>
        <w:numPr>
          <w:ilvl w:val="0"/>
          <w:numId w:val="18"/>
        </w:numPr>
        <w:spacing w:after="120"/>
      </w:pPr>
      <w:r w:rsidRPr="00CD4C9F">
        <w:rPr>
          <w:u w:val="single"/>
        </w:rPr>
        <w:t>Phosphate rock calciner</w:t>
      </w:r>
      <w:r w:rsidRPr="004A63DE">
        <w:t xml:space="preserve">.  On or after the date on which the performance test required to be conducted by §§ 63.7 and 63.606 is required to be completed, no owner or operator subject to the provisions of this subpart shall cause to be discharged into the atmosphere from any affected source any gases which contain particulate matter in excess of 0.0920 gram per dry standard cubic meter (g/dscm) [0.040 grain per dry standard cubic foot (gr/dscf)]. </w:t>
      </w:r>
    </w:p>
    <w:p w:rsidR="00A11312" w:rsidRDefault="001B2121" w:rsidP="00A11312">
      <w:pPr>
        <w:numPr>
          <w:ilvl w:val="0"/>
          <w:numId w:val="18"/>
        </w:numPr>
        <w:spacing w:after="120"/>
      </w:pPr>
      <w:r w:rsidRPr="00A11312">
        <w:rPr>
          <w:u w:val="single"/>
        </w:rPr>
        <w:t>Evaporative cooling tower</w:t>
      </w:r>
      <w:r w:rsidRPr="004A63DE">
        <w:t>.  No owner or operator shall introduce into any evaporative cooling tower any liquid effluent from any wet scrubbing device installed to control emissions from process equipment.  Each owner or operator of an affected source subject to this paragraph (e)  must certify to the Administrator annually that he/she has complied with the requirements contained herein.</w:t>
      </w:r>
    </w:p>
    <w:p w:rsidR="001B2121" w:rsidRPr="004A63DE" w:rsidRDefault="001B2121" w:rsidP="00A11312">
      <w:pPr>
        <w:numPr>
          <w:ilvl w:val="0"/>
          <w:numId w:val="18"/>
        </w:numPr>
        <w:spacing w:after="120"/>
      </w:pPr>
      <w:r w:rsidRPr="00A11312">
        <w:rPr>
          <w:u w:val="single"/>
        </w:rPr>
        <w:t>Purified phosphoric acid process line</w:t>
      </w:r>
      <w:r w:rsidRPr="004A63DE">
        <w:t>.</w:t>
      </w:r>
    </w:p>
    <w:p w:rsidR="001B2121" w:rsidRPr="004A63DE" w:rsidRDefault="001B2121" w:rsidP="00CD4C9F">
      <w:pPr>
        <w:numPr>
          <w:ilvl w:val="0"/>
          <w:numId w:val="15"/>
        </w:numPr>
        <w:tabs>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Each owner or operator subject to the provisions of this subpart shall comply with the provisions of subpart H of this part.</w:t>
      </w:r>
    </w:p>
    <w:p w:rsidR="001B2121" w:rsidRPr="004A63DE" w:rsidRDefault="001B2121" w:rsidP="00CD4C9F">
      <w:pPr>
        <w:numPr>
          <w:ilvl w:val="0"/>
          <w:numId w:val="15"/>
        </w:numPr>
        <w:tabs>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For any new purified phosphoric acid process line, any of the following shall constitute a violation of this subpart:</w:t>
      </w:r>
    </w:p>
    <w:p w:rsidR="001B2121" w:rsidRPr="004A63DE" w:rsidRDefault="001B2121" w:rsidP="00DF3669">
      <w:pPr>
        <w:numPr>
          <w:ilvl w:val="0"/>
          <w:numId w:val="17"/>
        </w:numPr>
        <w:spacing w:after="120"/>
      </w:pPr>
      <w:r w:rsidRPr="004A63DE">
        <w:t>A thirty day average of daily concentration measurements of methyl isobutyl ketone in excess of twenty parts per million for each product acid stream.</w:t>
      </w:r>
    </w:p>
    <w:p w:rsidR="001B2121" w:rsidRPr="004A63DE" w:rsidRDefault="001B2121" w:rsidP="00DF3669">
      <w:pPr>
        <w:numPr>
          <w:ilvl w:val="0"/>
          <w:numId w:val="17"/>
        </w:numPr>
        <w:spacing w:after="120"/>
      </w:pPr>
      <w:r w:rsidRPr="004A63DE">
        <w:t>A thirty day average of daily concentration measurements of methyl isobutyl ketone in excess of thirty parts per million for each raffinate stream.</w:t>
      </w:r>
    </w:p>
    <w:p w:rsidR="001B2121" w:rsidRPr="004A63DE" w:rsidRDefault="001B2121" w:rsidP="00DF3669">
      <w:pPr>
        <w:numPr>
          <w:ilvl w:val="0"/>
          <w:numId w:val="17"/>
        </w:numPr>
        <w:spacing w:after="120"/>
      </w:pPr>
      <w:r w:rsidRPr="004A63DE">
        <w:t>A daily average chiller stack exit gas stream temperature in excess of fifty degrees Fahrenheit.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63.604  Operating Requirements</w:t>
      </w:r>
      <w:r w:rsidRPr="004A63DE">
        <w: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On or after the date on which the performance test required to be conducted by §§ 63.7 and 63.606 is required to be completed, the owner/operator using a wet scrubbing emission control system must maintain daily averages of the pressure drop across each scrubber and of the flow rate of the scrubbing liquid to each scrubber within the allowable ranges established pursuant to the requirements of § 63.605(d)(1) or (2).</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MONITORING AND COMPLIANCE PROVISIONS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63.605  Monitoring requirements.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CD4C9F" w:rsidRDefault="001B2121" w:rsidP="00CD4C9F">
      <w:pPr>
        <w:numPr>
          <w:ilvl w:val="0"/>
          <w:numId w:val="19"/>
        </w:numPr>
      </w:pPr>
      <w:r w:rsidRPr="004A63DE">
        <w:t>Each owner or operator of a new or existing wet-process phosphoric acid process line, superphosphoric acid process line, phosphate rock dryer, or phosphate rock calciner subject to the provisions of this subpart shall install, calibrate, maintain, and operate a monitoring system which can be used to determine and permanently record the mass flow of phosphorus-bearing feed material to the process.  The monitoring system shall have an accuracy of ±5 percent over its operating range.</w:t>
      </w:r>
    </w:p>
    <w:p w:rsidR="00CD4C9F" w:rsidRDefault="00CD4C9F" w:rsidP="00CD4C9F">
      <w:pPr>
        <w:ind w:left="360"/>
      </w:pPr>
    </w:p>
    <w:p w:rsidR="001B2121" w:rsidRPr="004A63DE" w:rsidRDefault="001B2121" w:rsidP="00CD4C9F">
      <w:pPr>
        <w:numPr>
          <w:ilvl w:val="0"/>
          <w:numId w:val="19"/>
        </w:numPr>
      </w:pPr>
      <w:r w:rsidRPr="004A63DE">
        <w:t>(1)  Each owner or operator of a new or existing wet-process phosphoric acid process line or superphosphoric acid process line subject to the provisions of this subpart shall maintain a daily record of equivalent P</w:t>
      </w:r>
      <w:r w:rsidRPr="00CD4C9F">
        <w:rPr>
          <w:vertAlign w:val="subscript"/>
        </w:rPr>
        <w:t>2</w:t>
      </w:r>
      <w:r w:rsidRPr="004A63DE">
        <w:t>O</w:t>
      </w:r>
      <w:r w:rsidRPr="00CD4C9F">
        <w:rPr>
          <w:vertAlign w:val="subscript"/>
        </w:rPr>
        <w:t>5</w:t>
      </w:r>
      <w:r w:rsidRPr="004A63DE">
        <w:t xml:space="preserve"> feed by first determining the total mass rate in metric ton/hour of phosphorus bearing feed using a monitoring system for measuring mass flowrate which meets the requirements of paragraph (a) of this section and then by proceeding according to §63.606(c)(3).</w:t>
      </w:r>
    </w:p>
    <w:p w:rsidR="00CD4C9F" w:rsidRDefault="00CD4C9F" w:rsidP="00CD4C9F">
      <w:pPr>
        <w:ind w:firstLine="720"/>
      </w:pPr>
    </w:p>
    <w:p w:rsidR="001B2121" w:rsidRPr="004A63DE" w:rsidRDefault="001B2121" w:rsidP="00CD4C9F">
      <w:pPr>
        <w:ind w:left="360"/>
      </w:pPr>
      <w:r w:rsidRPr="004A63DE">
        <w:t>(2)  Each owner or operator of a new or existing phosphate rock calciner or phosphate rock dryer subject to the provisions of this subpart shall maintain a daily record of phosphate rock feed by determining the total mass rate in metric ton/hour of phosphorus bearing feed using a monitoring system for measuring mass flowrate which meets the requirements of paragraph (a) of this section.</w:t>
      </w:r>
    </w:p>
    <w:p w:rsidR="001B2121" w:rsidRPr="004A63DE" w:rsidRDefault="001B2121" w:rsidP="00CD4C9F"/>
    <w:p w:rsidR="001B2121" w:rsidRDefault="001B2121" w:rsidP="00A11312">
      <w:pPr>
        <w:numPr>
          <w:ilvl w:val="0"/>
          <w:numId w:val="19"/>
        </w:numPr>
        <w:spacing w:after="120"/>
      </w:pPr>
      <w:r w:rsidRPr="004A63DE">
        <w:t xml:space="preserve">Each owner or operator of a new or existing wet-process phosphoric acid process line, superphosphoric acid process line, phosphate rock dryer or phosphate rock calciner using a wet scrubbing emission control system shall install, calibrate, maintain, and operate the following monitoring systems: </w:t>
      </w:r>
    </w:p>
    <w:p w:rsidR="00B91B7E" w:rsidRDefault="001B2121" w:rsidP="00A11312">
      <w:pPr>
        <w:numPr>
          <w:ilvl w:val="0"/>
          <w:numId w:val="20"/>
        </w:numPr>
        <w:spacing w:after="120"/>
        <w:ind w:left="720"/>
      </w:pPr>
      <w:r w:rsidRPr="004A63DE">
        <w:t>A monitoring system which continuously measures and permanently records the pressure drop across each scrubber in the process scrubbing system in 15-minute block averages.  The monitoring system shall be certified by the manufacturer to have an accuracy of ±5 percent over its operating range.</w:t>
      </w:r>
    </w:p>
    <w:p w:rsidR="001B2121" w:rsidRPr="004A63DE" w:rsidRDefault="001B2121" w:rsidP="00A11312">
      <w:pPr>
        <w:numPr>
          <w:ilvl w:val="0"/>
          <w:numId w:val="20"/>
        </w:numPr>
        <w:spacing w:after="120"/>
        <w:ind w:left="720"/>
      </w:pPr>
      <w:r w:rsidRPr="004A63DE">
        <w:t>A monitoring system which continuously measures and permanently records the flow rate of the scrubbing liquid to each scrubber in the process scrubbing system in 15-minute block averages.  The monitoring system shall be certified by the manufacturer to have an accuracy of ±5 percent over its operating range.</w:t>
      </w:r>
    </w:p>
    <w:p w:rsidR="001B2121" w:rsidRPr="004A63DE" w:rsidRDefault="001B2121" w:rsidP="00A11312">
      <w:pPr>
        <w:numPr>
          <w:ilvl w:val="0"/>
          <w:numId w:val="19"/>
        </w:numPr>
        <w:spacing w:after="120"/>
      </w:pPr>
      <w:r w:rsidRPr="004A63DE">
        <w:t>Following the date on which the performance test required in § 63.606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(d)(1) or (2) of this section:</w:t>
      </w:r>
    </w:p>
    <w:p w:rsidR="00B91B7E" w:rsidRDefault="001B2121" w:rsidP="00A11312">
      <w:pPr>
        <w:pStyle w:val="NormalWeb"/>
        <w:numPr>
          <w:ilvl w:val="0"/>
          <w:numId w:val="21"/>
        </w:numPr>
        <w:spacing w:before="0" w:beforeAutospacing="0" w:after="120" w:afterAutospacing="0"/>
        <w:rPr>
          <w:sz w:val="20"/>
          <w:szCs w:val="20"/>
        </w:rPr>
      </w:pPr>
      <w:r w:rsidRPr="004A63DE">
        <w:rPr>
          <w:sz w:val="20"/>
          <w:szCs w:val="20"/>
        </w:rPr>
        <w:t>The allowable range for the daily averages of the pressure drop across each scrubber and of the flow rate of the scrubbing liquid to each scrubber in the process scrubbing system is ±20 percent of the baseline average value determined as a requirement of §63.606(c)(4), (d)(4), or (e)(2).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§§63.607(c)(1),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w:t>
      </w:r>
      <w:r w:rsidR="00B91B7E">
        <w:rPr>
          <w:sz w:val="20"/>
          <w:szCs w:val="20"/>
        </w:rPr>
        <w:t>g submission.</w:t>
      </w:r>
    </w:p>
    <w:p w:rsidR="001B2121" w:rsidRPr="00B91B7E" w:rsidRDefault="001B2121" w:rsidP="00A11312">
      <w:pPr>
        <w:pStyle w:val="NormalWeb"/>
        <w:numPr>
          <w:ilvl w:val="0"/>
          <w:numId w:val="21"/>
        </w:numPr>
        <w:spacing w:before="0" w:beforeAutospacing="0" w:after="120" w:afterAutospacing="0"/>
        <w:rPr>
          <w:sz w:val="20"/>
          <w:szCs w:val="20"/>
        </w:rPr>
      </w:pPr>
      <w:r w:rsidRPr="00B91B7E">
        <w:rPr>
          <w:sz w:val="20"/>
          <w:szCs w:val="20"/>
        </w:rPr>
        <w:t>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§63.606(c)(4), (d)(4), or (e)(2). As an alternative, the owner or operator can establish the allowable ranges using the results of performance tests conducted specifically for the purposes of this paragraph using the test methods required in this subpart and established in the manner required in §63.606(c)(4), (d)(4), or (e)(2).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1B2121" w:rsidRPr="004A63DE" w:rsidRDefault="001B2121" w:rsidP="00A11312">
      <w:pPr>
        <w:numPr>
          <w:ilvl w:val="0"/>
          <w:numId w:val="19"/>
        </w:numPr>
        <w:spacing w:after="120"/>
      </w:pPr>
      <w:r w:rsidRPr="004A63DE">
        <w:t>Each owner or operator of a new or existing purified phosphoric acid process line shall:</w:t>
      </w:r>
    </w:p>
    <w:p w:rsidR="00B91B7E" w:rsidRDefault="001B2121" w:rsidP="00A11312">
      <w:pPr>
        <w:numPr>
          <w:ilvl w:val="0"/>
          <w:numId w:val="22"/>
        </w:numPr>
        <w:spacing w:after="120"/>
      </w:pPr>
      <w:r w:rsidRPr="004A63DE">
        <w:t>Install, calibrate, maintain, and operate a monitoring system which continuously measures and permanently records the stack gas exit temperature for each chiller stack.</w:t>
      </w:r>
    </w:p>
    <w:p w:rsidR="001B2121" w:rsidRPr="004A63DE" w:rsidRDefault="001B2121" w:rsidP="00A11312">
      <w:pPr>
        <w:numPr>
          <w:ilvl w:val="0"/>
          <w:numId w:val="22"/>
        </w:numPr>
        <w:spacing w:after="120"/>
      </w:pPr>
      <w:r w:rsidRPr="004A63DE">
        <w:t xml:space="preserve"> Measure and record the concentration of methyl isobutyl ketone in each product acid stream and each raffinate stream once daily.</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63.606  Performance tests and compliance provisions.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B91B7E" w:rsidRDefault="001B2121" w:rsidP="00A11312">
      <w:pPr>
        <w:pStyle w:val="BodyTextIndent"/>
        <w:numPr>
          <w:ilvl w:val="0"/>
          <w:numId w:val="23"/>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line="240" w:lineRule="auto"/>
        <w:rPr>
          <w:sz w:val="20"/>
        </w:rPr>
      </w:pPr>
      <w:r w:rsidRPr="004A63DE">
        <w:rPr>
          <w:sz w:val="20"/>
        </w:rPr>
        <w:t>(1)  On or before the applicable compliance date in § 63.609 and once per annum thereafter, each owner or operator of a phosphoric acid manufacturing plant shall conduct a performance test to demonstrate compliance with the applicable emission standard for each existing wet-process phosphoric acid process line, superphosphoric acid process line, phosphate rock dryer, and phosphate rock calciner.  The owner or operator shall conduct the performance test according to the procedures in subpart A of this part and in this section.</w:t>
      </w:r>
    </w:p>
    <w:p w:rsidR="001B2121" w:rsidRPr="004A63DE" w:rsidRDefault="001B2121" w:rsidP="00A11312">
      <w:pPr>
        <w:pStyle w:val="BodyTextInden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line="240" w:lineRule="auto"/>
        <w:ind w:left="360" w:firstLine="0"/>
        <w:rPr>
          <w:sz w:val="20"/>
        </w:rPr>
      </w:pPr>
      <w:r w:rsidRPr="004A63DE">
        <w:rPr>
          <w:sz w:val="20"/>
        </w:rPr>
        <w:t>(2) As required by § 63.7(a)(2) and once per annum thereafter, each owner or operator of a phosphoric acid manufacturing plant shall conduct a performance test to demonstrate compliance with the applicable emission standard for each new wet-process phosphoric acid process line, superphosphoric acid process line, phosphate rock dryer, and phosphate rock calciner.  The owner or operator shall conduct the performance test according to the procedures in subpart A of this part and in this section.</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B91B7E">
      <w:pPr>
        <w:numPr>
          <w:ilvl w:val="0"/>
          <w:numId w:val="23"/>
        </w:numPr>
      </w:pPr>
      <w:r w:rsidRPr="004A63DE">
        <w:t xml:space="preserve">In conducting performance tests, each owner or operator of an affected source shall use as reference methods and procedures the test methods in 40 CFR Part 60, Appendix A, or other methods and procedures as specified in this section, except as provided in § 63.7(f).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rsidP="00440712">
      <w:pPr>
        <w:numPr>
          <w:ilvl w:val="0"/>
          <w:numId w:val="23"/>
        </w:numPr>
      </w:pPr>
      <w:r w:rsidRPr="004A63DE">
        <w:t xml:space="preserve">Each owner or operator of a new or existing wet-process phosphoric acid process line or superphosphoric acid process line shall determine compliance with the applicable total fluorides standards in § 63.602 or § 63.603 as follows: </w:t>
      </w:r>
    </w:p>
    <w:p w:rsidR="00440712" w:rsidRDefault="001B2121" w:rsidP="00440712">
      <w:pPr>
        <w:widowControl w:val="0"/>
        <w:numPr>
          <w:ilvl w:val="0"/>
          <w:numId w:val="26"/>
        </w:numPr>
      </w:pPr>
      <w:r w:rsidRPr="004A63DE">
        <w:t>The emission rate (E) of total fluorides shall be computed  for each run using the following equation:</w:t>
      </w:r>
    </w:p>
    <w:p w:rsidR="00440712" w:rsidRDefault="00440712" w:rsidP="00440712">
      <w:pPr>
        <w:widowControl w:val="0"/>
        <w:ind w:left="360"/>
      </w:pPr>
    </w:p>
    <w:p w:rsidR="00594201" w:rsidRDefault="001B2121" w:rsidP="00594201">
      <w:pPr>
        <w:widowControl w:val="0"/>
        <w:ind w:left="1800"/>
        <w:rPr>
          <w:lang w:val="de-DE"/>
        </w:rPr>
      </w:pPr>
      <w:r w:rsidRPr="00440712">
        <w:rPr>
          <w:lang w:val="de-DE"/>
        </w:rPr>
        <w:t xml:space="preserve">N      </w:t>
      </w:r>
    </w:p>
    <w:p w:rsidR="001B2121" w:rsidRPr="004A63DE" w:rsidRDefault="001B2121" w:rsidP="00B43A23">
      <w:pPr>
        <w:widowControl w:val="0"/>
        <w:ind w:left="1170"/>
        <w:rPr>
          <w:lang w:val="de-DE"/>
        </w:rPr>
      </w:pPr>
      <w:r w:rsidRPr="004A63DE">
        <w:rPr>
          <w:lang w:val="de-DE"/>
        </w:rPr>
        <w:t xml:space="preserve">E   =   ( </w:t>
      </w:r>
      <w:r w:rsidRPr="004A63DE">
        <w:rPr>
          <w:b/>
        </w:rPr>
        <w:sym w:font="Symbol" w:char="F0E5"/>
      </w:r>
      <w:r w:rsidRPr="004A63DE">
        <w:rPr>
          <w:lang w:val="de-DE"/>
        </w:rPr>
        <w:t xml:space="preserve"> </w:t>
      </w:r>
      <w:r w:rsidRPr="004A63DE">
        <w:rPr>
          <w:b/>
          <w:lang w:val="de-DE"/>
        </w:rPr>
        <w:t>C</w:t>
      </w:r>
      <w:r w:rsidRPr="004A63DE">
        <w:rPr>
          <w:b/>
          <w:vertAlign w:val="subscript"/>
          <w:lang w:val="de-DE"/>
        </w:rPr>
        <w:t>si</w:t>
      </w:r>
      <w:r w:rsidRPr="004A63DE">
        <w:rPr>
          <w:b/>
          <w:lang w:val="de-DE"/>
        </w:rPr>
        <w:t xml:space="preserve"> Q</w:t>
      </w:r>
      <w:r w:rsidRPr="004A63DE">
        <w:rPr>
          <w:b/>
          <w:vertAlign w:val="subscript"/>
          <w:lang w:val="de-DE"/>
        </w:rPr>
        <w:t>sdi</w:t>
      </w:r>
      <w:r w:rsidRPr="004A63DE">
        <w:rPr>
          <w:lang w:val="de-DE"/>
        </w:rPr>
        <w:t>)/(</w:t>
      </w:r>
      <w:r w:rsidRPr="004A63DE">
        <w:rPr>
          <w:b/>
          <w:lang w:val="de-DE"/>
        </w:rPr>
        <w:t>PK</w:t>
      </w:r>
      <w:r w:rsidRPr="004A63DE">
        <w:rPr>
          <w:lang w:val="de-DE"/>
        </w:rPr>
        <w:t xml:space="preserve">)     </w:t>
      </w:r>
    </w:p>
    <w:p w:rsidR="001B2121" w:rsidRPr="004A63DE" w:rsidRDefault="001B2121" w:rsidP="00440712">
      <w:pPr>
        <w:widowControl w:val="0"/>
        <w:ind w:left="1800"/>
      </w:pPr>
      <w:r w:rsidRPr="004A63DE">
        <w:t xml:space="preserve">i=1                     </w:t>
      </w:r>
    </w:p>
    <w:p w:rsidR="001B2121" w:rsidRPr="004A63DE" w:rsidRDefault="001B2121" w:rsidP="00440712">
      <w:pPr>
        <w:widowControl w:val="0"/>
      </w:pPr>
      <w:r w:rsidRPr="004A63DE">
        <w:t xml:space="preserve"> </w:t>
      </w:r>
    </w:p>
    <w:p w:rsidR="001B2121" w:rsidRDefault="001B2121" w:rsidP="00440712">
      <w:pPr>
        <w:widowControl w:val="0"/>
        <w:ind w:left="720"/>
      </w:pPr>
      <w:r w:rsidRPr="004A63DE">
        <w:t>where:</w:t>
      </w:r>
    </w:p>
    <w:p w:rsidR="00440712" w:rsidRPr="004A63DE" w:rsidRDefault="00440712" w:rsidP="00440712">
      <w:pPr>
        <w:widowControl w:val="0"/>
        <w:ind w:left="720"/>
      </w:pPr>
    </w:p>
    <w:p w:rsidR="001B2121" w:rsidRPr="004A63DE" w:rsidRDefault="001B2121" w:rsidP="00440712">
      <w:pPr>
        <w:widowControl w:val="0"/>
        <w:ind w:left="1440" w:hanging="720"/>
      </w:pPr>
      <w:r w:rsidRPr="004A63DE">
        <w:t>E   =</w:t>
      </w:r>
      <w:r w:rsidRPr="004A63DE">
        <w:tab/>
        <w:t>emission rate of total fluorides, g/metric ton (lb/ton) of equivalent P</w:t>
      </w:r>
      <w:r w:rsidRPr="004A63DE">
        <w:rPr>
          <w:vertAlign w:val="subscript"/>
        </w:rPr>
        <w:t>2</w:t>
      </w:r>
      <w:r w:rsidRPr="004A63DE">
        <w:t>O</w:t>
      </w:r>
      <w:r w:rsidRPr="004A63DE">
        <w:rPr>
          <w:vertAlign w:val="subscript"/>
        </w:rPr>
        <w:t>5</w:t>
      </w:r>
      <w:r w:rsidRPr="004A63DE">
        <w:t xml:space="preserve"> feed.</w:t>
      </w:r>
    </w:p>
    <w:p w:rsidR="001B2121" w:rsidRPr="004A63DE" w:rsidRDefault="001B2121" w:rsidP="00440712">
      <w:pPr>
        <w:widowControl w:val="0"/>
        <w:ind w:left="720"/>
      </w:pPr>
      <w:r w:rsidRPr="004A63DE">
        <w:rPr>
          <w:b/>
        </w:rPr>
        <w:t>C</w:t>
      </w:r>
      <w:r w:rsidRPr="004A63DE">
        <w:rPr>
          <w:b/>
          <w:vertAlign w:val="subscript"/>
        </w:rPr>
        <w:t>si</w:t>
      </w:r>
      <w:r w:rsidRPr="004A63DE">
        <w:t xml:space="preserve"> =  concentration of total fluorides from emission point ``i,'' mg/dscm (mg/dscf).</w:t>
      </w:r>
    </w:p>
    <w:p w:rsidR="001B2121" w:rsidRPr="004A63DE" w:rsidRDefault="001B2121" w:rsidP="00440712">
      <w:pPr>
        <w:widowControl w:val="0"/>
        <w:ind w:left="720"/>
      </w:pPr>
      <w:r w:rsidRPr="004A63DE">
        <w:rPr>
          <w:b/>
        </w:rPr>
        <w:t>Q</w:t>
      </w:r>
      <w:r w:rsidRPr="004A63DE">
        <w:rPr>
          <w:b/>
          <w:vertAlign w:val="subscript"/>
        </w:rPr>
        <w:t>sdi</w:t>
      </w:r>
      <w:r w:rsidRPr="004A63DE">
        <w:t xml:space="preserve">  =  volumetric flow rate of effluent gas from emission point ``i,'' dscm/hr (dscf/hr).</w:t>
      </w:r>
    </w:p>
    <w:p w:rsidR="001B2121" w:rsidRPr="004A63DE" w:rsidRDefault="001B2121" w:rsidP="00440712">
      <w:pPr>
        <w:widowControl w:val="0"/>
        <w:ind w:left="1440" w:hanging="720"/>
      </w:pPr>
      <w:r w:rsidRPr="004A63DE">
        <w:t>N     = number of emission points associated with the affected facility.</w:t>
      </w:r>
    </w:p>
    <w:p w:rsidR="001B2121" w:rsidRPr="004A63DE" w:rsidRDefault="001B2121" w:rsidP="00440712">
      <w:pPr>
        <w:widowControl w:val="0"/>
        <w:ind w:left="720"/>
      </w:pPr>
      <w:r w:rsidRPr="004A63DE">
        <w:rPr>
          <w:b/>
        </w:rPr>
        <w:t>P</w:t>
      </w:r>
      <w:r w:rsidRPr="004A63DE">
        <w:t xml:space="preserve"> = equivalent P</w:t>
      </w:r>
      <w:r w:rsidRPr="004A63DE">
        <w:rPr>
          <w:vertAlign w:val="subscript"/>
        </w:rPr>
        <w:t>2</w:t>
      </w:r>
      <w:r w:rsidRPr="004A63DE">
        <w:t>O</w:t>
      </w:r>
      <w:r w:rsidRPr="004A63DE">
        <w:rPr>
          <w:vertAlign w:val="subscript"/>
        </w:rPr>
        <w:t>5</w:t>
      </w:r>
      <w:r w:rsidRPr="004A63DE">
        <w:t xml:space="preserve"> feed rate, metric ton/hr (ton/hr).</w:t>
      </w:r>
    </w:p>
    <w:p w:rsidR="001B2121" w:rsidRDefault="001B2121" w:rsidP="00440712">
      <w:pPr>
        <w:widowControl w:val="0"/>
        <w:ind w:left="720"/>
      </w:pPr>
      <w:r w:rsidRPr="004A63DE">
        <w:rPr>
          <w:b/>
        </w:rPr>
        <w:t>K</w:t>
      </w:r>
      <w:r w:rsidRPr="004A63DE">
        <w:t xml:space="preserve"> = conversion factor, 1000 mg/g (453,600 mg/lb).</w:t>
      </w:r>
    </w:p>
    <w:p w:rsidR="00B43A23" w:rsidRDefault="00B43A23" w:rsidP="00B43A23">
      <w:pPr>
        <w:widowControl w:val="0"/>
      </w:pPr>
    </w:p>
    <w:p w:rsidR="001B2121" w:rsidRDefault="001B2121" w:rsidP="00440712">
      <w:pPr>
        <w:widowControl w:val="0"/>
        <w:numPr>
          <w:ilvl w:val="0"/>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Method 13A or 13B (40 CFR part 60, appendix A) shall be used to determine the total fluorides concentration (C</w:t>
      </w:r>
      <w:r w:rsidRPr="004A63DE">
        <w:rPr>
          <w:vertAlign w:val="subscript"/>
        </w:rPr>
        <w:t>si</w:t>
      </w:r>
      <w:r w:rsidRPr="004A63DE">
        <w:t>) and volumetric flow rate (Q</w:t>
      </w:r>
      <w:r w:rsidRPr="004A63DE">
        <w:rPr>
          <w:vertAlign w:val="subscript"/>
        </w:rPr>
        <w:t>sdi</w:t>
      </w:r>
      <w:r w:rsidRPr="004A63DE">
        <w:t xml:space="preserve">) of the effluent gas from each of the emission points.  If Method 13B is used, the fusion of the filtered material described in Section 7.3.1.2 and the distillation of suitable aliquots of containers 1 and 2, described in section 7.3.3 and 7.3.4. in Method 13 A, may be omitted.  The sampling time and sample volume for each run shall be at least 60 minutes and 0.85 dscm (30 dscf). </w:t>
      </w:r>
    </w:p>
    <w:p w:rsidR="001B2121" w:rsidRPr="004A63DE" w:rsidRDefault="001B2121" w:rsidP="00440712">
      <w:pPr>
        <w:widowControl w:val="0"/>
        <w:numPr>
          <w:ilvl w:val="0"/>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The equivalent P</w:t>
      </w:r>
      <w:r w:rsidRPr="004A63DE">
        <w:rPr>
          <w:vertAlign w:val="subscript"/>
        </w:rPr>
        <w:t>2</w:t>
      </w:r>
      <w:r w:rsidRPr="004A63DE">
        <w:t>O</w:t>
      </w:r>
      <w:r w:rsidRPr="004A63DE">
        <w:rPr>
          <w:vertAlign w:val="subscript"/>
        </w:rPr>
        <w:t>5</w:t>
      </w:r>
      <w:r w:rsidRPr="004A63DE">
        <w:t xml:space="preserve"> feed rate (P) shall be computed using the following equation:</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 </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b/>
      </w:r>
      <w:r w:rsidRPr="004A63DE">
        <w:tab/>
      </w:r>
      <w:r w:rsidRPr="004A63DE">
        <w:tab/>
        <w:t>P = M</w:t>
      </w:r>
      <w:r w:rsidRPr="004A63DE">
        <w:rPr>
          <w:vertAlign w:val="subscript"/>
        </w:rPr>
        <w:t>p</w:t>
      </w:r>
      <w:r w:rsidRPr="004A63DE">
        <w:t xml:space="preserve"> R</w:t>
      </w:r>
      <w:r w:rsidRPr="004A63DE">
        <w:rPr>
          <w:vertAlign w:val="subscript"/>
        </w:rPr>
        <w:t>p</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rsidRPr="004A63DE">
        <w:t>where:</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r w:rsidRPr="004A63DE">
        <w:t>M</w:t>
      </w:r>
      <w:r w:rsidRPr="004A63DE">
        <w:rPr>
          <w:vertAlign w:val="subscript"/>
        </w:rPr>
        <w:t>p</w:t>
      </w:r>
      <w:r w:rsidRPr="004A63DE">
        <w:t xml:space="preserve"> =</w:t>
      </w:r>
      <w:r w:rsidRPr="004A63DE">
        <w:tab/>
        <w:t>total mass flow rate of phosphorus-bearing feed, metric ton/hr (ton/hr).</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pPr>
      <w:r w:rsidRPr="004A63DE">
        <w:t>R</w:t>
      </w:r>
      <w:r w:rsidRPr="004A63DE">
        <w:rPr>
          <w:vertAlign w:val="subscript"/>
        </w:rPr>
        <w:t>p</w:t>
      </w:r>
      <w:r w:rsidRPr="004A63DE">
        <w:t xml:space="preserve"> = P</w:t>
      </w:r>
      <w:r w:rsidRPr="004A63DE">
        <w:rPr>
          <w:vertAlign w:val="subscript"/>
        </w:rPr>
        <w:t>2</w:t>
      </w:r>
      <w:r w:rsidRPr="004A63DE">
        <w:t>O</w:t>
      </w:r>
      <w:r w:rsidRPr="004A63DE">
        <w:rPr>
          <w:vertAlign w:val="subscript"/>
        </w:rPr>
        <w:t>5</w:t>
      </w:r>
      <w:r w:rsidRPr="004A63DE">
        <w:t xml:space="preserve"> content, decimal fraction.</w:t>
      </w:r>
    </w:p>
    <w:p w:rsidR="001B2121" w:rsidRPr="004A63DE" w:rsidRDefault="00B91B7E"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t xml:space="preserve"> </w:t>
      </w:r>
      <w:r w:rsidR="001B2121" w:rsidRPr="004A63DE">
        <w:t>(i) The accountability system described in § 63.605(a) and (b) shall be used to determine the mass flow rate (M</w:t>
      </w:r>
      <w:r w:rsidR="001B2121" w:rsidRPr="004A63DE">
        <w:rPr>
          <w:vertAlign w:val="subscript"/>
        </w:rPr>
        <w:t>p</w:t>
      </w:r>
      <w:r w:rsidR="001B2121" w:rsidRPr="004A63DE">
        <w:t xml:space="preserve">) of the phosphorus-bearing feed. </w:t>
      </w:r>
    </w:p>
    <w:p w:rsidR="001B2121" w:rsidRPr="004A63DE" w:rsidRDefault="001B2121"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pPr>
      <w:r w:rsidRPr="004A63DE">
        <w:t>(ii) The P</w:t>
      </w:r>
      <w:r w:rsidRPr="004A63DE">
        <w:rPr>
          <w:vertAlign w:val="subscript"/>
        </w:rPr>
        <w:t>2</w:t>
      </w:r>
      <w:r w:rsidRPr="004A63DE">
        <w:t>O</w:t>
      </w:r>
      <w:r w:rsidRPr="004A63DE">
        <w:rPr>
          <w:vertAlign w:val="subscript"/>
        </w:rPr>
        <w:t>5</w:t>
      </w:r>
      <w:r w:rsidRPr="004A63DE">
        <w:t xml:space="preserve"> content (R</w:t>
      </w:r>
      <w:r w:rsidRPr="004A63DE">
        <w:rPr>
          <w:vertAlign w:val="subscript"/>
        </w:rPr>
        <w:t>p</w:t>
      </w:r>
      <w:r w:rsidRPr="004A63DE">
        <w:t>) of the feed shall be determined using as appropriate the following methods (incorporated by reference- see 40 CFR 63.14) specified in the Book of Methods Used and Adopted By The Association Of  Florida Phosphate Chemists, Seventh Edition 1991, where applicable:</w:t>
      </w:r>
    </w:p>
    <w:p w:rsidR="001B2121" w:rsidRPr="004A63DE" w:rsidRDefault="001B2121" w:rsidP="00440712">
      <w:pPr>
        <w:widowControl w:val="0"/>
        <w:numPr>
          <w:ilvl w:val="3"/>
          <w:numId w:val="32"/>
        </w:numPr>
        <w:ind w:left="2160"/>
      </w:pPr>
      <w:r w:rsidRPr="004A63DE">
        <w:t>Section IX, Methods of Analysis For Phosphate Rock, No. 1 Preparation of Sample.</w:t>
      </w:r>
    </w:p>
    <w:p w:rsidR="00B91B7E" w:rsidRDefault="001B2121" w:rsidP="00440712">
      <w:pPr>
        <w:widowControl w:val="0"/>
        <w:numPr>
          <w:ilvl w:val="3"/>
          <w:numId w:val="32"/>
        </w:numPr>
        <w:ind w:left="2160"/>
      </w:pPr>
      <w:r w:rsidRPr="004A63DE">
        <w:t>Section IX,  Methods of Analysis For Phosphate Rock, No. 3 Phosphorus-P</w:t>
      </w:r>
      <w:r w:rsidRPr="004A63DE">
        <w:rPr>
          <w:vertAlign w:val="subscript"/>
        </w:rPr>
        <w:t>2</w:t>
      </w:r>
      <w:r w:rsidRPr="004A63DE">
        <w:t>O</w:t>
      </w:r>
      <w:r w:rsidRPr="004A63DE">
        <w:rPr>
          <w:vertAlign w:val="subscript"/>
        </w:rPr>
        <w:t>5</w:t>
      </w:r>
      <w:r w:rsidRPr="004A63DE">
        <w:t xml:space="preserve"> or Ca</w:t>
      </w:r>
      <w:r w:rsidRPr="004A63DE">
        <w:rPr>
          <w:vertAlign w:val="subscript"/>
        </w:rPr>
        <w:t>3</w:t>
      </w:r>
      <w:r w:rsidRPr="004A63DE">
        <w:t>(PO</w:t>
      </w:r>
      <w:r w:rsidRPr="004A63DE">
        <w:rPr>
          <w:vertAlign w:val="subscript"/>
        </w:rPr>
        <w:t>4</w:t>
      </w:r>
      <w:r w:rsidRPr="004A63DE">
        <w:t>)</w:t>
      </w:r>
      <w:r w:rsidRPr="004A63DE">
        <w:rPr>
          <w:vertAlign w:val="subscript"/>
        </w:rPr>
        <w:t>2</w:t>
      </w:r>
      <w:r w:rsidRPr="004A63DE">
        <w:t xml:space="preserve">, Method A-Volumetric Method. </w:t>
      </w:r>
    </w:p>
    <w:p w:rsidR="00B91B7E" w:rsidRDefault="001B2121" w:rsidP="00440712">
      <w:pPr>
        <w:widowControl w:val="0"/>
        <w:numPr>
          <w:ilvl w:val="3"/>
          <w:numId w:val="32"/>
        </w:numPr>
        <w:ind w:left="2160"/>
      </w:pPr>
      <w:r w:rsidRPr="004A63DE">
        <w:t>Section IX,  Methods of Analysis For Phosphate Rock, No. 3 Phosphorus-P</w:t>
      </w:r>
      <w:r w:rsidRPr="004A63DE">
        <w:rPr>
          <w:vertAlign w:val="subscript"/>
        </w:rPr>
        <w:t>2</w:t>
      </w:r>
      <w:r w:rsidRPr="004A63DE">
        <w:t>O</w:t>
      </w:r>
      <w:r w:rsidRPr="004A63DE">
        <w:rPr>
          <w:vertAlign w:val="subscript"/>
        </w:rPr>
        <w:t>5</w:t>
      </w:r>
      <w:r w:rsidRPr="004A63DE">
        <w:t xml:space="preserve"> or Ca</w:t>
      </w:r>
      <w:r w:rsidRPr="004A63DE">
        <w:rPr>
          <w:vertAlign w:val="subscript"/>
        </w:rPr>
        <w:t>3</w:t>
      </w:r>
      <w:r w:rsidRPr="004A63DE">
        <w:t>(PO</w:t>
      </w:r>
      <w:r w:rsidRPr="004A63DE">
        <w:rPr>
          <w:vertAlign w:val="subscript"/>
        </w:rPr>
        <w:t>4</w:t>
      </w:r>
      <w:r w:rsidRPr="004A63DE">
        <w:t>)</w:t>
      </w:r>
      <w:r w:rsidRPr="004A63DE">
        <w:rPr>
          <w:vertAlign w:val="subscript"/>
        </w:rPr>
        <w:t>2</w:t>
      </w:r>
      <w:r w:rsidRPr="004A63DE">
        <w:t>, Method B-Gravimetric Quimociac Method.</w:t>
      </w:r>
    </w:p>
    <w:p w:rsidR="00B91B7E" w:rsidRDefault="001B2121" w:rsidP="00440712">
      <w:pPr>
        <w:widowControl w:val="0"/>
        <w:numPr>
          <w:ilvl w:val="3"/>
          <w:numId w:val="32"/>
        </w:numPr>
        <w:ind w:left="2160"/>
      </w:pPr>
      <w:r w:rsidRPr="004A63DE">
        <w:t>Section IX,  Methods of Analysis For Phosphate Rock, No. 3 Phosphorus-P</w:t>
      </w:r>
      <w:r w:rsidRPr="004A63DE">
        <w:rPr>
          <w:vertAlign w:val="subscript"/>
        </w:rPr>
        <w:t>2</w:t>
      </w:r>
      <w:r w:rsidRPr="004A63DE">
        <w:t>O</w:t>
      </w:r>
      <w:r w:rsidRPr="004A63DE">
        <w:rPr>
          <w:vertAlign w:val="subscript"/>
        </w:rPr>
        <w:t>5</w:t>
      </w:r>
      <w:r w:rsidRPr="004A63DE">
        <w:t xml:space="preserve"> or Ca</w:t>
      </w:r>
      <w:r w:rsidRPr="004A63DE">
        <w:rPr>
          <w:vertAlign w:val="subscript"/>
        </w:rPr>
        <w:t>3</w:t>
      </w:r>
      <w:r w:rsidRPr="004A63DE">
        <w:t>(PO</w:t>
      </w:r>
      <w:r w:rsidRPr="004A63DE">
        <w:rPr>
          <w:vertAlign w:val="subscript"/>
        </w:rPr>
        <w:t>4</w:t>
      </w:r>
      <w:r w:rsidRPr="004A63DE">
        <w:t>)</w:t>
      </w:r>
      <w:r w:rsidRPr="004A63DE">
        <w:rPr>
          <w:vertAlign w:val="subscript"/>
        </w:rPr>
        <w:t>2</w:t>
      </w:r>
      <w:r w:rsidRPr="004A63DE">
        <w:t>, Method C-Spectrophotometric Method.</w:t>
      </w:r>
    </w:p>
    <w:p w:rsidR="00B91B7E" w:rsidRDefault="001B2121" w:rsidP="00440712">
      <w:pPr>
        <w:widowControl w:val="0"/>
        <w:numPr>
          <w:ilvl w:val="3"/>
          <w:numId w:val="32"/>
        </w:numPr>
        <w:ind w:left="2160"/>
      </w:pPr>
      <w:r w:rsidRPr="004A63DE">
        <w:t>Section XI,  Methods of Analysis For Phosphoric Acid, Superphosphate, Triple superphosphate, and Ammonium Phosphates, No. 3 Total Phosphorus-P</w:t>
      </w:r>
      <w:r w:rsidRPr="004A63DE">
        <w:rPr>
          <w:vertAlign w:val="subscript"/>
        </w:rPr>
        <w:t>2</w:t>
      </w:r>
      <w:r w:rsidRPr="004A63DE">
        <w:t>O</w:t>
      </w:r>
      <w:r w:rsidRPr="004A63DE">
        <w:rPr>
          <w:vertAlign w:val="subscript"/>
        </w:rPr>
        <w:t>5</w:t>
      </w:r>
      <w:r w:rsidRPr="004A63DE">
        <w:t>,  Method A-Volumetric Method.</w:t>
      </w:r>
    </w:p>
    <w:p w:rsidR="00B91B7E" w:rsidRDefault="001B2121" w:rsidP="00440712">
      <w:pPr>
        <w:widowControl w:val="0"/>
        <w:numPr>
          <w:ilvl w:val="3"/>
          <w:numId w:val="32"/>
        </w:numPr>
        <w:ind w:left="2160"/>
      </w:pPr>
      <w:r w:rsidRPr="004A63DE">
        <w:t>Section XI,  Methods of Analysis For Phosphoric Acid, Superphosphate, Triple superphosphate, and Ammonium Phosphates, No. 3 Total Phosphorus-P</w:t>
      </w:r>
      <w:r w:rsidRPr="004A63DE">
        <w:rPr>
          <w:vertAlign w:val="subscript"/>
        </w:rPr>
        <w:t>2</w:t>
      </w:r>
      <w:r w:rsidRPr="004A63DE">
        <w:t>O</w:t>
      </w:r>
      <w:r w:rsidRPr="004A63DE">
        <w:rPr>
          <w:vertAlign w:val="subscript"/>
        </w:rPr>
        <w:t>5</w:t>
      </w:r>
      <w:r w:rsidRPr="004A63DE">
        <w:t>,  Method B-Gravimetric Quimociac Method.</w:t>
      </w:r>
    </w:p>
    <w:p w:rsidR="001B2121" w:rsidRDefault="001B2121" w:rsidP="00440712">
      <w:pPr>
        <w:widowControl w:val="0"/>
        <w:numPr>
          <w:ilvl w:val="3"/>
          <w:numId w:val="32"/>
        </w:numPr>
        <w:ind w:left="2160"/>
      </w:pPr>
      <w:r w:rsidRPr="004A63DE">
        <w:t>Section XI,  Methods of Analysis For Phosphoric Acid, Superphosphate, Triple superphosphate, and Ammonium Phosphates, No. 3 Total Phosphorus-P</w:t>
      </w:r>
      <w:r w:rsidRPr="004A63DE">
        <w:rPr>
          <w:vertAlign w:val="subscript"/>
        </w:rPr>
        <w:t>2</w:t>
      </w:r>
      <w:r w:rsidRPr="004A63DE">
        <w:t>O</w:t>
      </w:r>
      <w:r w:rsidRPr="004A63DE">
        <w:rPr>
          <w:vertAlign w:val="subscript"/>
        </w:rPr>
        <w:t>5</w:t>
      </w:r>
      <w:r w:rsidRPr="004A63DE">
        <w:t>, Method C-Spectrophotometric Method.</w:t>
      </w:r>
      <w:r w:rsidR="00FA3FD5">
        <w:t xml:space="preserve"> </w:t>
      </w:r>
    </w:p>
    <w:p w:rsidR="00FA3FD5" w:rsidRDefault="00FA3FD5" w:rsidP="0044071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p>
    <w:p w:rsidR="001B2121" w:rsidRPr="004A63DE" w:rsidRDefault="001B2121" w:rsidP="00B91B7E">
      <w:pPr>
        <w:numPr>
          <w:ilvl w:val="0"/>
          <w:numId w:val="2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To comply with § 63.605(d)(1)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 63.605(d)(1) or (2).</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p>
    <w:p w:rsidR="001B2121" w:rsidRPr="004A63DE" w:rsidRDefault="001B2121" w:rsidP="00A11312">
      <w:pPr>
        <w:numPr>
          <w:ilvl w:val="0"/>
          <w:numId w:val="23"/>
        </w:numPr>
        <w:spacing w:after="120"/>
      </w:pPr>
      <w:r w:rsidRPr="004A63DE">
        <w:t>Each owner or operator of a new or existing phosphate rock dryer shall demonstrate compliance with the particulate matter standards in § 63.602 or § 63.603 as follows:</w:t>
      </w:r>
    </w:p>
    <w:p w:rsidR="001B2121" w:rsidRPr="004A63DE" w:rsidRDefault="001B2121" w:rsidP="00B91B7E">
      <w:pPr>
        <w:numPr>
          <w:ilvl w:val="0"/>
          <w:numId w:val="35"/>
        </w:numPr>
      </w:pPr>
      <w:r w:rsidRPr="004A63DE">
        <w:t>The emission rate (E) of particulate matter shall be computed for each run using the following equation:</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ab/>
      </w:r>
      <w:r w:rsidRPr="004A63DE">
        <w:tab/>
        <w:t>E = (C</w:t>
      </w:r>
      <w:r w:rsidRPr="004A63DE">
        <w:rPr>
          <w:vertAlign w:val="subscript"/>
        </w:rPr>
        <w:t>s</w:t>
      </w:r>
      <w:r w:rsidRPr="004A63DE">
        <w:t xml:space="preserve"> Q</w:t>
      </w:r>
      <w:r w:rsidRPr="004A63DE">
        <w:rPr>
          <w:vertAlign w:val="subscript"/>
        </w:rPr>
        <w:t>sd</w:t>
      </w:r>
      <w:r w:rsidRPr="004A63DE">
        <w:t>)/(PK)</w:t>
      </w:r>
    </w:p>
    <w:p w:rsidR="001B2121" w:rsidRPr="004A63DE" w:rsidRDefault="001B2121" w:rsidP="00B91B7E">
      <w:pPr>
        <w:ind w:left="720"/>
      </w:pPr>
      <w:r w:rsidRPr="004A63DE">
        <w:t>where:</w:t>
      </w:r>
    </w:p>
    <w:p w:rsidR="001B2121" w:rsidRPr="004A63DE" w:rsidRDefault="00B91B7E" w:rsidP="00B91B7E">
      <w:pPr>
        <w:ind w:left="1440" w:hanging="720"/>
      </w:pPr>
      <w:r>
        <w:t xml:space="preserve">E = </w:t>
      </w:r>
      <w:r w:rsidR="001B2121" w:rsidRPr="004A63DE">
        <w:t>emission rate of particulate matter, kg/Mg (lb/ton) of phosphate rock feed.</w:t>
      </w:r>
    </w:p>
    <w:p w:rsidR="001B2121" w:rsidRPr="004A63DE" w:rsidRDefault="001B2121" w:rsidP="00B91B7E">
      <w:pPr>
        <w:ind w:left="720"/>
      </w:pPr>
      <w:r w:rsidRPr="004A63DE">
        <w:t>C</w:t>
      </w:r>
      <w:r w:rsidRPr="004A63DE">
        <w:rPr>
          <w:vertAlign w:val="subscript"/>
        </w:rPr>
        <w:t>s</w:t>
      </w:r>
      <w:r w:rsidRPr="004A63DE">
        <w:t xml:space="preserve"> = concentration of particulate matter, g/dscm (g/dscf).</w:t>
      </w:r>
    </w:p>
    <w:p w:rsidR="001B2121" w:rsidRPr="004A63DE" w:rsidRDefault="001B2121" w:rsidP="00B91B7E">
      <w:pPr>
        <w:ind w:left="2160" w:hanging="1440"/>
      </w:pPr>
      <w:r w:rsidRPr="004A63DE">
        <w:t>Q</w:t>
      </w:r>
      <w:r w:rsidRPr="004A63DE">
        <w:rPr>
          <w:vertAlign w:val="subscript"/>
        </w:rPr>
        <w:t>sd</w:t>
      </w:r>
      <w:r w:rsidR="00B91B7E">
        <w:t xml:space="preserve"> = </w:t>
      </w:r>
      <w:r w:rsidRPr="004A63DE">
        <w:t>volumetric flow rate of effluent gas, dscm/hr (dscf/hr).</w:t>
      </w:r>
    </w:p>
    <w:p w:rsidR="001B2121" w:rsidRPr="004A63DE" w:rsidRDefault="001B2121" w:rsidP="00B91B7E">
      <w:pPr>
        <w:ind w:left="720"/>
      </w:pPr>
      <w:r w:rsidRPr="004A63DE">
        <w:t>P = phosphate rock feed rate, Mg/hr (ton/hr).</w:t>
      </w:r>
    </w:p>
    <w:p w:rsidR="001B2121" w:rsidRPr="004A63DE" w:rsidRDefault="001B2121" w:rsidP="00B91B7E">
      <w:pPr>
        <w:ind w:left="720"/>
      </w:pPr>
      <w:r w:rsidRPr="004A63DE">
        <w:t>K = conversion factor, 1000 g/kg (453.6 g/lb).</w:t>
      </w:r>
    </w:p>
    <w:p w:rsidR="00B91B7E" w:rsidRDefault="00B91B7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p w:rsidR="00B91B7E" w:rsidRDefault="001B2121" w:rsidP="00A11312">
      <w:pPr>
        <w:numPr>
          <w:ilvl w:val="0"/>
          <w:numId w:val="35"/>
        </w:numPr>
        <w:spacing w:after="120"/>
      </w:pPr>
      <w:r w:rsidRPr="004A63DE">
        <w:t>Method 5 (40 CFR part 60, appendix A) shall be used to determine the particulate matter concentration (c</w:t>
      </w:r>
      <w:r w:rsidRPr="004A63DE">
        <w:rPr>
          <w:vertAlign w:val="subscript"/>
        </w:rPr>
        <w:t>s</w:t>
      </w:r>
      <w:r w:rsidRPr="004A63DE">
        <w:t>) and volumetric flow rate (Q</w:t>
      </w:r>
      <w:r w:rsidRPr="004A63DE">
        <w:rPr>
          <w:vertAlign w:val="subscript"/>
        </w:rPr>
        <w:t>sd</w:t>
      </w:r>
      <w:r w:rsidRPr="004A63DE">
        <w:t>) of the effluent gas. The sampling time and sample volume for each run shall be at least 60 minutes and 0.85 dscm (30 dscf).</w:t>
      </w:r>
    </w:p>
    <w:p w:rsidR="00B91B7E" w:rsidRDefault="001B2121" w:rsidP="00A11312">
      <w:pPr>
        <w:numPr>
          <w:ilvl w:val="0"/>
          <w:numId w:val="35"/>
        </w:numPr>
        <w:spacing w:after="120"/>
      </w:pPr>
      <w:r w:rsidRPr="004A63DE">
        <w:t>The system described in § 63.605(a) shall be used to determine the phosphate rock feed rate (P) for each run.</w:t>
      </w:r>
    </w:p>
    <w:p w:rsidR="001B2121" w:rsidRPr="004A63DE" w:rsidRDefault="001B2121" w:rsidP="00A11312">
      <w:pPr>
        <w:numPr>
          <w:ilvl w:val="0"/>
          <w:numId w:val="35"/>
        </w:numPr>
        <w:spacing w:after="120"/>
      </w:pPr>
      <w:r w:rsidRPr="004A63DE">
        <w:t xml:space="preserve">To comply with § 63.605(d)(1)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the particulate matter runs.  The arithmetic average of the one-hour averages determined during the three test runs shall be used as the baseline average values for the purposes of § 63.605(d)(1) or (2). </w:t>
      </w:r>
    </w:p>
    <w:p w:rsidR="001B2121" w:rsidRDefault="001B2121" w:rsidP="00FA3FD5">
      <w:pPr>
        <w:numPr>
          <w:ilvl w:val="0"/>
          <w:numId w:val="23"/>
        </w:numPr>
        <w:spacing w:after="120"/>
      </w:pPr>
      <w:r w:rsidRPr="004A63DE">
        <w:t>Each owner or operator of a new or existing phosphate rock calciner shall demonstrate compliance with the particulate matter standards in §§ 63.602 and 63.603 as follows:</w:t>
      </w:r>
    </w:p>
    <w:p w:rsidR="007663F7" w:rsidRDefault="001B2121" w:rsidP="00FA3FD5">
      <w:pPr>
        <w:numPr>
          <w:ilvl w:val="0"/>
          <w:numId w:val="37"/>
        </w:numPr>
        <w:spacing w:after="120"/>
      </w:pPr>
      <w:r w:rsidRPr="004A63DE">
        <w:t xml:space="preserve">Method 5 (40 CFR part 60, appendix A) shall be used to determine the particulate matter concentration. The sampling time and volume for each test run shall be at least 60 minutes and 1.70 dscm. </w:t>
      </w:r>
    </w:p>
    <w:p w:rsidR="001B2121" w:rsidRPr="004A63DE" w:rsidRDefault="001B2121" w:rsidP="00FA3FD5">
      <w:pPr>
        <w:numPr>
          <w:ilvl w:val="0"/>
          <w:numId w:val="37"/>
        </w:numPr>
        <w:spacing w:after="120"/>
      </w:pPr>
      <w:r w:rsidRPr="004A63DE">
        <w:t>To comply with § 63.605(d)(1) or (2), the owner or operator shall use the monitoring systems in § 63.605(c) to determine the average pressure loss of the gas stream across each scrubber in the process scrubbing system and to determine the average flow rate of the scrubber liquid to each scrubber in the process scrubbing system during each of the particulate matter runs.  The arithmetic average of the one-hour averages determined during the three test runs shall be used as the baseline average values for the purposes of § 63.605(d)(1) or (2).</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NOTIFICATION, REPORTING AND RECORDKEEPING</w:t>
      </w:r>
    </w:p>
    <w:p w:rsidR="007663F7" w:rsidRDefault="007663F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63.607  Notification, recordkeeping, and reporting requirements</w:t>
      </w:r>
      <w:r w:rsidRPr="004A63DE">
        <w: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663F7" w:rsidRDefault="001B2121" w:rsidP="00FA3FD5">
      <w:pPr>
        <w:numPr>
          <w:ilvl w:val="0"/>
          <w:numId w:val="38"/>
        </w:numPr>
        <w:spacing w:after="120"/>
      </w:pPr>
      <w:r w:rsidRPr="004A63DE">
        <w:t>Each owner or operator subject to the requirements of this subpart shall comply with the notification requirements in § 63.9.</w:t>
      </w:r>
    </w:p>
    <w:p w:rsidR="007663F7" w:rsidRDefault="001B2121" w:rsidP="00FA3FD5">
      <w:pPr>
        <w:numPr>
          <w:ilvl w:val="0"/>
          <w:numId w:val="38"/>
        </w:numPr>
        <w:spacing w:after="120"/>
      </w:pPr>
      <w:r w:rsidRPr="004A63DE">
        <w:t>Each owner or operator subject to the requirements of this subpart shall comply with the recordkeeping requirements in § 63.10.</w:t>
      </w:r>
    </w:p>
    <w:p w:rsidR="001B2121" w:rsidRPr="004A63DE" w:rsidRDefault="001B2121" w:rsidP="00FA3FD5">
      <w:pPr>
        <w:numPr>
          <w:ilvl w:val="0"/>
          <w:numId w:val="38"/>
        </w:numPr>
        <w:spacing w:after="120"/>
      </w:pPr>
      <w:r w:rsidRPr="004A63DE">
        <w:t>The owner or operator of an affected source shall comply with the reporting requirements specified in § 63.10 as follows:</w:t>
      </w:r>
    </w:p>
    <w:p w:rsidR="007663F7"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rPr>
          <w:u w:val="single"/>
        </w:rPr>
        <w:t>Performance test report</w:t>
      </w:r>
      <w:r w:rsidRPr="004A63DE">
        <w:t>.  As required by § 63.10, the owner or operator shall report the results of the initial and annual performance tests as part of the notification of compliance status required in § 63.9.</w:t>
      </w:r>
    </w:p>
    <w:p w:rsidR="007663F7"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 </w:t>
      </w:r>
      <w:r w:rsidRPr="007663F7">
        <w:rPr>
          <w:u w:val="single"/>
        </w:rPr>
        <w:t>Excess emissions report</w:t>
      </w:r>
      <w:r w:rsidRPr="004A63DE">
        <w:t>.  As required by § 63.10, the owner or operator of an affected source shall submit an excess emissions report for any exceedance of an operating parameter limit.  The report shall contain the information specified in § 63.10.  When no exceedances of an operating parameter have occurred, such information shall be included in the report.  The report shall be submitted semiannually and shall be delivered or postmarked by the 30th day following the end of the calendar half.  If exceedances are reported, the owner or operator shall report quarterly until a request to reduce reporting frequency is approved as described in § 63.10.</w:t>
      </w:r>
    </w:p>
    <w:p w:rsidR="007663F7"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 </w:t>
      </w:r>
      <w:r w:rsidRPr="007663F7">
        <w:rPr>
          <w:u w:val="single"/>
        </w:rPr>
        <w:t>Summary report.</w:t>
      </w:r>
      <w:r w:rsidRPr="004A63DE">
        <w:t xml:space="preserve">  If the total duration of control system exceedances for the reporting period is less than 1 percent of the total operating time for the reporting period, the owner or operator shall submit a summary report containing the information specified in § 63.10 rather than the full excess emissions report, unless required by the Administrator.  The summary report shall be submitted semiannually and shall be delivered or postmarked by the 30th day following the end of the calendar half.</w:t>
      </w:r>
    </w:p>
    <w:p w:rsidR="001B2121" w:rsidRPr="004A63DE" w:rsidRDefault="001B2121" w:rsidP="00FA3FD5">
      <w:pPr>
        <w:numPr>
          <w:ilvl w:val="0"/>
          <w:numId w:val="4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r w:rsidRPr="004A63DE">
        <w:t xml:space="preserve"> If the total duration of control system operating parameter exceedances for the reporting period is 1 percent or greater of the total operating time for the reporting period, the owner or operator shall submit a summary report and the excess emissions report.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rPr>
      </w:pPr>
      <w:r w:rsidRPr="004A63DE">
        <w:rPr>
          <w:b/>
        </w:rPr>
        <w:t>§ 63.608 Applicability of general provisions.</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The requirements of the general provisions in subpart A of this part that are applicable to the owner or operator subject to the requirements of this subpart are shown in appendix A to this subpart.</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63.609</w:t>
      </w:r>
      <w:r w:rsidRPr="004A63DE">
        <w:rPr>
          <w:b/>
        </w:rPr>
        <w:tab/>
        <w:t>Compliance dates</w:t>
      </w:r>
      <w:r w:rsidRPr="004A63DE">
        <w:t xml:space="preserve">.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7663F7" w:rsidRDefault="001B2121" w:rsidP="00DF3669">
      <w:pPr>
        <w:numPr>
          <w:ilvl w:val="0"/>
          <w:numId w:val="41"/>
        </w:numPr>
        <w:spacing w:after="120"/>
      </w:pPr>
      <w:r w:rsidRPr="004A63DE">
        <w:t>Each owner or operator of an existing affected source at a phosphoric acid manufacturing plant shall achieve compliance with the requirements of this subpart no later than June 10, 2002.  Notwithstanding the requirements of § 63.7(a)(2)(iii), each owner or operator of an existing source at an affected existing phosphoric acid manufacturing plant shall fulfill the applicable requirements of § 63.606 no later than June 10, 2002.</w:t>
      </w:r>
    </w:p>
    <w:p w:rsidR="001B2121" w:rsidRPr="004A63DE" w:rsidRDefault="001B2121" w:rsidP="00DF3669">
      <w:pPr>
        <w:numPr>
          <w:ilvl w:val="0"/>
          <w:numId w:val="41"/>
        </w:numPr>
        <w:spacing w:after="120"/>
      </w:pPr>
      <w:r w:rsidRPr="004A63DE">
        <w:t xml:space="preserve"> Each owner or operator of a phosphoric acid manufacturing plant that commences construction or reconstruction of an affected source after December 27, 1996 shall achieve compliance with the requirements of this subpart upon startup of operations or by June 10, 1999, whichever is later.</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rsidRPr="004A63DE">
        <w:t>OTHER</w:t>
      </w:r>
    </w:p>
    <w:p w:rsidR="00FA3FD5" w:rsidRPr="004A63DE" w:rsidRDefault="00FA3F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rPr>
          <w:b/>
        </w:rPr>
        <w:t>§ 63.610</w:t>
      </w:r>
      <w:r w:rsidRPr="004A63DE">
        <w:rPr>
          <w:b/>
        </w:rPr>
        <w:tab/>
        <w:t>Exemption from new source performance standards</w:t>
      </w:r>
      <w:r w:rsidRPr="004A63DE">
        <w:t xml:space="preserve">.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rsidRPr="004A63DE">
        <w:t xml:space="preserve">Any affected source subject to the provisions of this subpart is exempted from any otherwise applicable new source performance standard contained in 40 CFR Part 60, subpart T, subpart U or subpart NN.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 63.604, 63.605 and 63.606 have been met. </w:t>
      </w:r>
    </w:p>
    <w:p w:rsidR="001B2121" w:rsidRPr="004A63DE" w:rsidRDefault="001B21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1B2121" w:rsidRPr="004A63DE" w:rsidRDefault="001B2121">
      <w:pPr>
        <w:pStyle w:val="HTMLPreformatted"/>
        <w:rPr>
          <w:rFonts w:ascii="Times New Roman" w:hAnsi="Times New Roman"/>
          <w:b/>
        </w:rPr>
      </w:pPr>
      <w:r w:rsidRPr="004A63DE">
        <w:rPr>
          <w:rFonts w:ascii="Times New Roman" w:hAnsi="Times New Roman"/>
          <w:b/>
        </w:rPr>
        <w:t>§63.611  Implementation and enforcement.</w:t>
      </w:r>
    </w:p>
    <w:p w:rsidR="001B2121" w:rsidRPr="004A63DE" w:rsidRDefault="001B2121">
      <w:pPr>
        <w:pStyle w:val="HTMLPreformatted"/>
        <w:rPr>
          <w:rFonts w:ascii="Times New Roman" w:hAnsi="Times New Roman"/>
        </w:rPr>
      </w:pPr>
    </w:p>
    <w:p w:rsidR="007663F7" w:rsidRDefault="001B2121" w:rsidP="00FA3FD5">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4A63DE">
        <w:rPr>
          <w:rFonts w:ascii="Times New Roman" w:hAnsi="Times New Roman"/>
        </w:rPr>
        <w:t>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w:t>
      </w:r>
      <w:r w:rsidR="007663F7">
        <w:rPr>
          <w:rFonts w:ascii="Times New Roman" w:hAnsi="Times New Roman"/>
        </w:rPr>
        <w:t xml:space="preserve"> </w:t>
      </w:r>
      <w:r w:rsidRPr="007663F7">
        <w:rPr>
          <w:rFonts w:ascii="Times New Roman" w:hAnsi="Times New Roman"/>
        </w:rPr>
        <w:t>implementation and enforcement of this subpart is delegated to a State, local, or Tribal agency.</w:t>
      </w:r>
    </w:p>
    <w:p w:rsidR="007663F7" w:rsidRDefault="001B2121" w:rsidP="00FA3FD5">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1B2121" w:rsidRPr="007663F7" w:rsidRDefault="001B2121" w:rsidP="001C634E">
      <w:pPr>
        <w:pStyle w:val="HTMLPreformatted"/>
        <w:numPr>
          <w:ilvl w:val="0"/>
          <w:numId w:val="42"/>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The authorities that cannot be delegated to State, local, or Tribal agencies are as specified in paragraphs (c)(1) through (4) of this section.</w:t>
      </w:r>
    </w:p>
    <w:p w:rsidR="007663F7"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4A63DE">
        <w:rPr>
          <w:rFonts w:ascii="Times New Roman" w:hAnsi="Times New Roman"/>
        </w:rPr>
        <w:t>Approval of alternatives to the requirements in Sec. Sec.  63.600, 63.602 through 63.604, and 63.609 through 63.610.</w:t>
      </w:r>
    </w:p>
    <w:p w:rsidR="007663F7"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Approval of major alternatives to test methods under Sec.  63.7(e)(2)(ii) and (f), as defined in Sec.  63.90, and as required in this subpart.</w:t>
      </w:r>
    </w:p>
    <w:p w:rsidR="007663F7"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Approval of major alternatives to monitoring under Sec.  63.8(f), as defined in Sec.  63.90, and as required in this subpart.</w:t>
      </w:r>
    </w:p>
    <w:p w:rsidR="001B2121" w:rsidRDefault="001B2121" w:rsidP="001C634E">
      <w:pPr>
        <w:pStyle w:val="HTMLPreformatted"/>
        <w:numPr>
          <w:ilvl w:val="0"/>
          <w:numId w:val="4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rPr>
          <w:rFonts w:ascii="Times New Roman" w:hAnsi="Times New Roman"/>
        </w:rPr>
      </w:pPr>
      <w:r w:rsidRPr="007663F7">
        <w:rPr>
          <w:rFonts w:ascii="Times New Roman" w:hAnsi="Times New Roman"/>
        </w:rPr>
        <w:t>Approval of major alternatives to recordkeeping and reporting under Sec.  63.10(f), as defined in Sec.  63.90, and as required in this subpart.</w:t>
      </w:r>
    </w:p>
    <w:p w:rsidR="00424BA8" w:rsidRDefault="00424BA8" w:rsidP="00424BA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900"/>
        <w:rPr>
          <w:rFonts w:ascii="Times New Roman" w:hAnsi="Times New Roman"/>
        </w:rPr>
      </w:pPr>
      <w:r>
        <w:rPr>
          <w:rFonts w:ascii="Times New Roman" w:hAnsi="Times New Roman"/>
        </w:rPr>
        <w:br w:type="page"/>
      </w:r>
    </w:p>
    <w:p w:rsidR="001C634E" w:rsidRPr="001C634E" w:rsidRDefault="001C634E" w:rsidP="001C634E">
      <w:pPr>
        <w:pStyle w:val="Heading5"/>
        <w:ind w:right="-126"/>
        <w:rPr>
          <w:rFonts w:ascii="Times New Roman" w:hAnsi="Times New Roman"/>
          <w:i w:val="0"/>
          <w:sz w:val="20"/>
          <w:szCs w:val="20"/>
        </w:rPr>
      </w:pPr>
      <w:r w:rsidRPr="001C634E">
        <w:rPr>
          <w:rFonts w:ascii="Times New Roman" w:hAnsi="Times New Roman"/>
          <w:i w:val="0"/>
          <w:sz w:val="20"/>
          <w:szCs w:val="20"/>
        </w:rPr>
        <w:t>Appendix A to Subpart AA of Part 63—Applicability of General Provisions</w:t>
      </w:r>
      <w:r>
        <w:rPr>
          <w:rFonts w:ascii="Times New Roman" w:hAnsi="Times New Roman"/>
          <w:i w:val="0"/>
          <w:sz w:val="20"/>
          <w:szCs w:val="20"/>
        </w:rPr>
        <w:t xml:space="preserve"> (40 CFR Part 63, Subpart A) to </w:t>
      </w:r>
      <w:r w:rsidRPr="001C634E">
        <w:rPr>
          <w:rFonts w:ascii="Times New Roman" w:hAnsi="Times New Roman"/>
          <w:i w:val="0"/>
          <w:sz w:val="20"/>
          <w:szCs w:val="20"/>
        </w:rPr>
        <w:t xml:space="preserve">Subpart </w:t>
      </w:r>
      <w:r>
        <w:rPr>
          <w:rFonts w:ascii="Times New Roman" w:hAnsi="Times New Roman"/>
          <w:i w:val="0"/>
          <w:sz w:val="20"/>
          <w:szCs w:val="20"/>
        </w:rPr>
        <w:t>A</w:t>
      </w:r>
      <w:r w:rsidRPr="001C634E">
        <w:rPr>
          <w:rFonts w:ascii="Times New Roman" w:hAnsi="Times New Roman"/>
          <w:i w:val="0"/>
          <w:sz w:val="20"/>
          <w:szCs w:val="20"/>
        </w:rPr>
        <w:t>A</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4"/>
        <w:gridCol w:w="3710"/>
        <w:gridCol w:w="1161"/>
        <w:gridCol w:w="3849"/>
      </w:tblGrid>
      <w:tr w:rsidR="001C634E" w:rsidTr="00E96054">
        <w:trPr>
          <w:cantSplit/>
          <w:tblHeader/>
        </w:trPr>
        <w:tc>
          <w:tcPr>
            <w:tcW w:w="0" w:type="auto"/>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40 CFR citation</w:t>
            </w:r>
          </w:p>
        </w:tc>
        <w:tc>
          <w:tcPr>
            <w:tcW w:w="0" w:type="auto"/>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Requirement</w:t>
            </w:r>
          </w:p>
        </w:tc>
        <w:tc>
          <w:tcPr>
            <w:tcW w:w="566" w:type="pct"/>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Applies to</w:t>
            </w:r>
            <w:r>
              <w:rPr>
                <w:b/>
                <w:bCs/>
              </w:rPr>
              <w:br/>
              <w:t>subpart AA</w:t>
            </w:r>
          </w:p>
        </w:tc>
        <w:tc>
          <w:tcPr>
            <w:tcW w:w="1877" w:type="pct"/>
            <w:tcBorders>
              <w:top w:val="single" w:sz="6" w:space="0" w:color="000000"/>
              <w:left w:val="single" w:sz="6" w:space="0" w:color="000000"/>
              <w:bottom w:val="single" w:sz="12" w:space="0" w:color="000000"/>
              <w:right w:val="single" w:sz="6" w:space="0" w:color="000000"/>
            </w:tcBorders>
            <w:vAlign w:val="bottom"/>
            <w:hideMark/>
          </w:tcPr>
          <w:p w:rsidR="001C634E" w:rsidRDefault="001C634E">
            <w:pPr>
              <w:jc w:val="center"/>
              <w:rPr>
                <w:b/>
                <w:bCs/>
                <w:sz w:val="24"/>
                <w:szCs w:val="24"/>
              </w:rPr>
            </w:pPr>
            <w:r>
              <w:rPr>
                <w:b/>
                <w:bCs/>
              </w:rPr>
              <w:t>Comment</w:t>
            </w:r>
          </w:p>
        </w:tc>
      </w:tr>
      <w:tr w:rsidR="001C634E" w:rsidTr="00E96054">
        <w:tc>
          <w:tcPr>
            <w:tcW w:w="0" w:type="auto"/>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r>
              <w:t>63.1(a)(1) through (4)</w:t>
            </w:r>
          </w:p>
        </w:tc>
        <w:tc>
          <w:tcPr>
            <w:tcW w:w="0" w:type="auto"/>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r>
              <w:t>General Applicability</w:t>
            </w:r>
          </w:p>
        </w:tc>
        <w:tc>
          <w:tcPr>
            <w:tcW w:w="566" w:type="pct"/>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12"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63.1(a)(6) through (8)</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63.1(a)(9)</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63.1(a)(10) through (14)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Initial Applicability Determination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Applicability After Standard Established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Some plants may be area sources.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63.1(c)(4) and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Applicability of Permit Program</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Definitions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definitions in §63.601.</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Units and Abbreviations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63.4(a)(1) through (3)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Prohibited Activities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63.4(a)(4)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63.4(a)(5)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63.4(b) and (c)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Circumvention/Severability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Construction/Reconstruction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63.5(b)(1)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Existing, New, Reconstructed Sources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63.5(b)(2)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63.5(b)(3) through (6)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Application for Approval of Construction/ Reconstruction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Approval of Construction/Reconstruction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63.5(f)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Approval of Construction/Reconstruction Based on State Review</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Compliance with Standards and Maintenance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63.6(b)(1) through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New and Reconstructed Sources Dates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See also §63.609.</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63.6(b)(6)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63.6(b)(7)</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Existing Sources Dates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§63.609 specifies dates.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63.6(c)(3) and (4)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63.6(c)(5)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63.6(e)(1) and (2)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Operation &amp; Maintenance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63.6(e)(3)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Startup, Shutdown, and Malfunction Plan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Compliance with Emission Standards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63.6(g)</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Standard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63.6(h)</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Compliance with Opacity/VE Standards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include VE/opacity standards.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63.6(i)(1) through (14)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Extension of Compliance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63.6(i)(15)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63.6(i)(16)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63.6(j)</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Exemption from Compliance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Performance Test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§63.609(a) applies rather than §63.7(a)(2)(iii).</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Quality Assurance/Test Plan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Testing Facilities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Conduct of Tests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§§63.604 and 63.605 specify additional requirements.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Test Method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63.7(g)</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Data Analysis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63.7(h)</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Waiver of Tests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Monitoring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specifications.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63.8(a)(4)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Conduct of Monitoring</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63.8(c)(1) through (4)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CMS Operation/Maintenance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63.8(c)(5) through (8)</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COMS/CEMS or CMS performance specifications.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Quality Control</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CMS Performance Evaluation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evaluations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63.8(f)(1) through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Monitoring Method</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63.8(f)(6)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Alternative to RATA Test</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CEMS.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63.8(g)(1)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Data Reduction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63.8(g)(2)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COMS or CEMS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63.8(g)(3) through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Initial Notifications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63.9(c)</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Request for Compliance Extension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63.9(d)</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New Source Notification for Special Compliance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63.9(e)</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of Performance Test</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of VE/Opacity Test</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include VE/opacity standards.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63.9(g)</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CMS Notifications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evaluation, COMS, or CEMS.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63.9(h)(1) through (3)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Notification of Compliance Status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63.9(h)(4)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63.9(h)(5) and (6)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63.9(i)</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Adjustment of Deadlines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63.9(j)</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Change in Previous Information</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Recordkeeping/Reporting-Applicability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General Recordkeeping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CMS Recordkeeping</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63.10(c)(2) through (4)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63.10(c)(6)</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CMS performance specifications.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63.10(c)(7) and (8)</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63.10(c)(9)</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[Reserved].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63.10(c)(10) through (13)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a CMS quality control program.</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63.10(c)(15)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63.10(d)(1)</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General Reporting Requirements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Performance Test Results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Opacity or VE Observations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include VE/opacity standards.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63.10(d)(4) and (5)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Progress Reports/Startup, Shutdown, and Malfunction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63.10(e)(1) and (2)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Additional CMS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CEMS or CMS performance evaluations.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63.10(e)(3)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Excess Emissions/CMS Performance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§63.606(c)(2) includes additional requirements. A CMS performance report is not required.</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63.10(e)(4)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COMS Data Reports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Subpart AA does not require COMS.</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63.10(f)</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Recordkeeping/Reporting Waiver</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63.11(a)</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Control Device Requirements Applicability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63.11(b)</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Flares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No</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Flares not applicable.</w:t>
            </w: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63.12</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State Authority and Delegations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63.13</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Addresses</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63.14</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Incorporation by Reference</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p>
        </w:tc>
      </w:tr>
      <w:tr w:rsidR="001C634E" w:rsidTr="001C634E">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63.15</w:t>
            </w:r>
          </w:p>
        </w:tc>
        <w:tc>
          <w:tcPr>
            <w:tcW w:w="0" w:type="auto"/>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Information Availability/Confidentiality</w:t>
            </w:r>
          </w:p>
        </w:tc>
        <w:tc>
          <w:tcPr>
            <w:tcW w:w="566" w:type="pct"/>
            <w:tcBorders>
              <w:top w:val="single" w:sz="6" w:space="0" w:color="000000"/>
              <w:left w:val="single" w:sz="6" w:space="0" w:color="000000"/>
              <w:bottom w:val="single" w:sz="6" w:space="0" w:color="000000"/>
              <w:right w:val="single" w:sz="6" w:space="0" w:color="000000"/>
            </w:tcBorders>
            <w:hideMark/>
          </w:tcPr>
          <w:p w:rsidR="001C634E" w:rsidRDefault="001C634E">
            <w:pPr>
              <w:rPr>
                <w:sz w:val="24"/>
                <w:szCs w:val="24"/>
              </w:rPr>
            </w:pPr>
            <w:r>
              <w:t>Yes.</w:t>
            </w:r>
          </w:p>
        </w:tc>
        <w:tc>
          <w:tcPr>
            <w:tcW w:w="1877" w:type="pct"/>
            <w:vAlign w:val="center"/>
            <w:hideMark/>
          </w:tcPr>
          <w:p w:rsidR="001C634E" w:rsidRDefault="001C634E"/>
        </w:tc>
      </w:tr>
    </w:tbl>
    <w:p w:rsidR="001C634E" w:rsidRPr="00FA3FD5" w:rsidRDefault="001C634E" w:rsidP="001C634E">
      <w:pPr>
        <w:pStyle w:val="HTMLPreformatted"/>
        <w:spacing w:after="120"/>
        <w:ind w:left="900"/>
        <w:rPr>
          <w:rFonts w:ascii="Times New Roman" w:hAnsi="Times New Roman"/>
        </w:rPr>
      </w:pPr>
    </w:p>
    <w:sectPr w:rsidR="001C634E" w:rsidRPr="00FA3FD5" w:rsidSect="001C634E">
      <w:headerReference w:type="even" r:id="rId8"/>
      <w:headerReference w:type="default" r:id="rId9"/>
      <w:footerReference w:type="even" r:id="rId10"/>
      <w:footerReference w:type="default" r:id="rId11"/>
      <w:headerReference w:type="first" r:id="rId12"/>
      <w:footerReference w:type="first" r:id="rId13"/>
      <w:pgSz w:w="12240" w:h="15840"/>
      <w:pgMar w:top="1440" w:right="1008" w:bottom="1440" w:left="1008" w:header="720" w:footer="3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74C" w:rsidRDefault="004B074C">
      <w:r>
        <w:separator/>
      </w:r>
    </w:p>
  </w:endnote>
  <w:endnote w:type="continuationSeparator" w:id="0">
    <w:p w:rsidR="004B074C" w:rsidRDefault="004B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4201" w:rsidRPr="00751CD0" w:rsidRDefault="00594201" w:rsidP="00FC16E7">
    <w:pPr>
      <w:pStyle w:val="Footer"/>
      <w:pBdr>
        <w:top w:val="single" w:sz="6" w:space="1" w:color="auto"/>
      </w:pBdr>
      <w:tabs>
        <w:tab w:val="clear" w:pos="4320"/>
        <w:tab w:val="clear" w:pos="8640"/>
        <w:tab w:val="right" w:pos="10260"/>
      </w:tabs>
      <w:spacing w:before="240"/>
    </w:pPr>
    <w:r w:rsidRPr="00751CD0">
      <w:tab/>
    </w:r>
  </w:p>
  <w:p w:rsidR="00594201" w:rsidRDefault="00594201" w:rsidP="006436E3">
    <w:pPr>
      <w:pStyle w:val="Footer"/>
      <w:jc w:val="center"/>
    </w:pPr>
    <w:r>
      <w:t>NESHAP, Subpart AA</w:t>
    </w:r>
  </w:p>
  <w:p w:rsidR="00594201" w:rsidRPr="00DE6CEE" w:rsidRDefault="00594201" w:rsidP="006436E3">
    <w:pPr>
      <w:pStyle w:val="Footer"/>
      <w:jc w:val="center"/>
    </w:pPr>
    <w:r>
      <w:t xml:space="preserve">Page </w:t>
    </w:r>
    <w:r w:rsidRPr="00F8513C">
      <w:rPr>
        <w:rStyle w:val="PageNumber"/>
      </w:rPr>
      <w:fldChar w:fldCharType="begin"/>
    </w:r>
    <w:r w:rsidRPr="00F8513C">
      <w:rPr>
        <w:rStyle w:val="PageNumber"/>
      </w:rPr>
      <w:instrText xml:space="preserve"> PAGE </w:instrText>
    </w:r>
    <w:r w:rsidRPr="00F8513C">
      <w:rPr>
        <w:rStyle w:val="PageNumber"/>
      </w:rPr>
      <w:fldChar w:fldCharType="separate"/>
    </w:r>
    <w:r w:rsidR="00A460D8">
      <w:rPr>
        <w:rStyle w:val="PageNumber"/>
        <w:noProof/>
      </w:rPr>
      <w:t>1</w:t>
    </w:r>
    <w:r w:rsidRPr="00F8513C">
      <w:rPr>
        <w:rStyle w:val="PageNumber"/>
      </w:rPr>
      <w:fldChar w:fldCharType="end"/>
    </w:r>
    <w:r>
      <w:rPr>
        <w:rStyle w:val="PageNumber"/>
      </w:rPr>
      <w:t xml:space="preserve"> of </w:t>
    </w:r>
    <w:r w:rsidRPr="00F8513C">
      <w:rPr>
        <w:rStyle w:val="PageNumber"/>
      </w:rPr>
      <w:fldChar w:fldCharType="begin"/>
    </w:r>
    <w:r w:rsidRPr="00F8513C">
      <w:rPr>
        <w:rStyle w:val="PageNumber"/>
      </w:rPr>
      <w:instrText xml:space="preserve"> NUMPAGES </w:instrText>
    </w:r>
    <w:r w:rsidRPr="00F8513C">
      <w:rPr>
        <w:rStyle w:val="PageNumber"/>
      </w:rPr>
      <w:fldChar w:fldCharType="separate"/>
    </w:r>
    <w:r w:rsidR="00A460D8">
      <w:rPr>
        <w:rStyle w:val="PageNumber"/>
        <w:noProof/>
      </w:rPr>
      <w:t>12</w:t>
    </w:r>
    <w:r w:rsidRPr="00F8513C">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74C" w:rsidRDefault="004B074C">
      <w:r>
        <w:separator/>
      </w:r>
    </w:p>
  </w:footnote>
  <w:footnote w:type="continuationSeparator" w:id="0">
    <w:p w:rsidR="004B074C" w:rsidRDefault="004B0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A23" w:rsidRPr="00B43A23" w:rsidRDefault="00B43A23" w:rsidP="00B43A23">
    <w:pPr>
      <w:pStyle w:val="Header"/>
      <w:pBdr>
        <w:bottom w:val="single" w:sz="4" w:space="1" w:color="auto"/>
      </w:pBdr>
      <w:jc w:val="center"/>
      <w:rPr>
        <w:b/>
        <w:sz w:val="24"/>
        <w:szCs w:val="24"/>
      </w:rPr>
    </w:pPr>
    <w:r w:rsidRPr="00B43A23">
      <w:rPr>
        <w:b/>
        <w:sz w:val="24"/>
        <w:szCs w:val="24"/>
      </w:rPr>
      <w:t>APPENDIX NESHAP</w:t>
    </w:r>
    <w:r>
      <w:rPr>
        <w:b/>
        <w:sz w:val="24"/>
        <w:szCs w:val="24"/>
      </w:rPr>
      <w:t xml:space="preserve"> 40 CFR 63 </w:t>
    </w:r>
    <w:r w:rsidRPr="00B43A23">
      <w:rPr>
        <w:b/>
        <w:sz w:val="24"/>
        <w:szCs w:val="24"/>
      </w:rPr>
      <w:t>SUBPART AA</w:t>
    </w:r>
  </w:p>
  <w:p w:rsidR="00B43A23" w:rsidRPr="00B43A23" w:rsidRDefault="00B43A23" w:rsidP="00B43A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E1" w:rsidRDefault="00C13C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3A7A"/>
    <w:multiLevelType w:val="hybridMultilevel"/>
    <w:tmpl w:val="3B2C7F0A"/>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E578B"/>
    <w:multiLevelType w:val="hybridMultilevel"/>
    <w:tmpl w:val="51408418"/>
    <w:lvl w:ilvl="0" w:tplc="93D490B2">
      <w:start w:val="1"/>
      <w:numFmt w:val="decimal"/>
      <w:lvlText w:val="(%1)"/>
      <w:lvlJc w:val="left"/>
      <w:pPr>
        <w:ind w:left="720" w:hanging="360"/>
      </w:pPr>
      <w:rPr>
        <w:rFonts w:cs="Times New Roman" w:hint="default"/>
        <w:b w:val="0"/>
        <w:i w:val="0"/>
        <w:dstrike w:val="0"/>
      </w:rPr>
    </w:lvl>
    <w:lvl w:ilvl="1" w:tplc="93D490B2">
      <w:start w:val="1"/>
      <w:numFmt w:val="decimal"/>
      <w:lvlText w:val="(%2)"/>
      <w:lvlJc w:val="left"/>
      <w:pPr>
        <w:ind w:left="1440" w:hanging="360"/>
      </w:pPr>
      <w:rPr>
        <w:rFonts w:cs="Times New Roman" w:hint="default"/>
        <w:b w:val="0"/>
        <w:i w:val="0"/>
        <w:d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02E34"/>
    <w:multiLevelType w:val="hybridMultilevel"/>
    <w:tmpl w:val="F67A2662"/>
    <w:lvl w:ilvl="0" w:tplc="F8CC4B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B552A"/>
    <w:multiLevelType w:val="hybridMultilevel"/>
    <w:tmpl w:val="FC26C75E"/>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F31490"/>
    <w:multiLevelType w:val="multilevel"/>
    <w:tmpl w:val="3E466256"/>
    <w:lvl w:ilvl="0">
      <w:start w:val="63"/>
      <w:numFmt w:val="decimal"/>
      <w:lvlText w:val="%1"/>
      <w:lvlJc w:val="left"/>
      <w:pPr>
        <w:tabs>
          <w:tab w:val="num" w:pos="705"/>
        </w:tabs>
        <w:ind w:left="705" w:hanging="705"/>
      </w:pPr>
      <w:rPr>
        <w:rFonts w:hint="default"/>
      </w:rPr>
    </w:lvl>
    <w:lvl w:ilvl="1">
      <w:start w:val="6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D733586"/>
    <w:multiLevelType w:val="hybridMultilevel"/>
    <w:tmpl w:val="47C023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0B4175"/>
    <w:multiLevelType w:val="hybridMultilevel"/>
    <w:tmpl w:val="E9A05E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562B4"/>
    <w:multiLevelType w:val="hybridMultilevel"/>
    <w:tmpl w:val="DF0A0C16"/>
    <w:lvl w:ilvl="0" w:tplc="33546568">
      <w:start w:val="1"/>
      <w:numFmt w:val="lowerRoman"/>
      <w:lvlText w:val="(%1)"/>
      <w:lvlJc w:val="left"/>
      <w:pPr>
        <w:ind w:left="1080" w:hanging="360"/>
      </w:pPr>
      <w:rPr>
        <w:rFonts w:cs="Times New Roman" w:hint="default"/>
        <w:b w:val="0"/>
        <w:i w:val="0"/>
        <w:dstrike w:val="0"/>
        <w:spacing w:val="0"/>
        <w:w w:val="100"/>
        <w:kern w:val="0"/>
        <w:position w:val="0"/>
      </w:rPr>
    </w:lvl>
    <w:lvl w:ilvl="1" w:tplc="04090019">
      <w:start w:val="1"/>
      <w:numFmt w:val="lowerLetter"/>
      <w:lvlText w:val="%2."/>
      <w:lvlJc w:val="left"/>
      <w:pPr>
        <w:ind w:left="1800" w:hanging="360"/>
      </w:pPr>
    </w:lvl>
    <w:lvl w:ilvl="2" w:tplc="299C8BB0">
      <w:start w:val="1"/>
      <w:numFmt w:val="lowerRoman"/>
      <w:lvlText w:val="(%3) "/>
      <w:lvlJc w:val="center"/>
      <w:pPr>
        <w:ind w:left="2520" w:hanging="180"/>
      </w:pPr>
      <w:rPr>
        <w:rFonts w:cs="Times New Roman" w:hint="default"/>
        <w:b w:val="0"/>
        <w:i w:val="0"/>
        <w:dstrike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4A5B48"/>
    <w:multiLevelType w:val="hybridMultilevel"/>
    <w:tmpl w:val="047ED774"/>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DC4B80"/>
    <w:multiLevelType w:val="hybridMultilevel"/>
    <w:tmpl w:val="4ABC9C5A"/>
    <w:lvl w:ilvl="0" w:tplc="F8CC4B30">
      <w:start w:val="1"/>
      <w:numFmt w:val="lowerLetter"/>
      <w:lvlText w:val="(%1)"/>
      <w:lvlJc w:val="left"/>
      <w:pPr>
        <w:ind w:left="360" w:hanging="360"/>
      </w:pPr>
      <w:rPr>
        <w:rFonts w:cs="Times New Roman" w:hint="default"/>
        <w:b w:val="0"/>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66977C9"/>
    <w:multiLevelType w:val="hybridMultilevel"/>
    <w:tmpl w:val="3A6833B4"/>
    <w:lvl w:ilvl="0" w:tplc="93D490B2">
      <w:start w:val="1"/>
      <w:numFmt w:val="decimal"/>
      <w:lvlText w:val="(%1)"/>
      <w:lvlJc w:val="left"/>
      <w:pPr>
        <w:ind w:left="1080" w:hanging="360"/>
      </w:pPr>
      <w:rPr>
        <w:rFonts w:cs="Times New Roman" w:hint="default"/>
        <w:b w:val="0"/>
        <w:i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1E6998"/>
    <w:multiLevelType w:val="hybridMultilevel"/>
    <w:tmpl w:val="5B16B662"/>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817E7"/>
    <w:multiLevelType w:val="hybridMultilevel"/>
    <w:tmpl w:val="39C80F5A"/>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3703C0"/>
    <w:multiLevelType w:val="hybridMultilevel"/>
    <w:tmpl w:val="28EE9D10"/>
    <w:lvl w:ilvl="0" w:tplc="93D490B2">
      <w:start w:val="1"/>
      <w:numFmt w:val="decimal"/>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72855B1"/>
    <w:multiLevelType w:val="hybridMultilevel"/>
    <w:tmpl w:val="4DC04A02"/>
    <w:lvl w:ilvl="0" w:tplc="F8CC4B30">
      <w:start w:val="1"/>
      <w:numFmt w:val="lowerLetter"/>
      <w:lvlText w:val="(%1)"/>
      <w:lvlJc w:val="left"/>
      <w:pPr>
        <w:ind w:left="360" w:hanging="360"/>
      </w:pPr>
      <w:rPr>
        <w:rFonts w:cs="Times New Roman" w:hint="default"/>
        <w:b w:val="0"/>
        <w:i w:val="0"/>
        <w:d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2B8681A"/>
    <w:multiLevelType w:val="hybridMultilevel"/>
    <w:tmpl w:val="1564F83C"/>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BE6863"/>
    <w:multiLevelType w:val="hybridMultilevel"/>
    <w:tmpl w:val="E3189AD8"/>
    <w:lvl w:ilvl="0" w:tplc="4BFC88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E10F21"/>
    <w:multiLevelType w:val="hybridMultilevel"/>
    <w:tmpl w:val="21C4B1B0"/>
    <w:lvl w:ilvl="0" w:tplc="93D490B2">
      <w:start w:val="1"/>
      <w:numFmt w:val="decimal"/>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FDE7247"/>
    <w:multiLevelType w:val="hybridMultilevel"/>
    <w:tmpl w:val="DE7E2352"/>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274DE0"/>
    <w:multiLevelType w:val="hybridMultilevel"/>
    <w:tmpl w:val="BACA5C52"/>
    <w:lvl w:ilvl="0" w:tplc="299C8BB0">
      <w:start w:val="1"/>
      <w:numFmt w:val="lowerRoman"/>
      <w:lvlText w:val="(%1) "/>
      <w:lvlJc w:val="center"/>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131278B"/>
    <w:multiLevelType w:val="hybridMultilevel"/>
    <w:tmpl w:val="5A723F90"/>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0E3458"/>
    <w:multiLevelType w:val="hybridMultilevel"/>
    <w:tmpl w:val="A614E9C8"/>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CE95DE2"/>
    <w:multiLevelType w:val="hybridMultilevel"/>
    <w:tmpl w:val="2EE2E61E"/>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4BFC887A">
      <w:start w:val="1"/>
      <w:numFmt w:val="upp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509A7083"/>
    <w:multiLevelType w:val="hybridMultilevel"/>
    <w:tmpl w:val="52B6A924"/>
    <w:lvl w:ilvl="0" w:tplc="93D490B2">
      <w:start w:val="1"/>
      <w:numFmt w:val="decimal"/>
      <w:lvlText w:val="(%1)"/>
      <w:lvlJc w:val="left"/>
      <w:pPr>
        <w:ind w:left="1440" w:hanging="360"/>
      </w:pPr>
      <w:rPr>
        <w:rFonts w:cs="Times New Roman" w:hint="default"/>
        <w:b w:val="0"/>
        <w:i w:val="0"/>
        <w:d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2D621ED"/>
    <w:multiLevelType w:val="hybridMultilevel"/>
    <w:tmpl w:val="9170DEFA"/>
    <w:lvl w:ilvl="0" w:tplc="299C8BB0">
      <w:start w:val="1"/>
      <w:numFmt w:val="lowerRoman"/>
      <w:lvlText w:val="(%1) "/>
      <w:lvlJc w:val="center"/>
      <w:pPr>
        <w:ind w:left="1440" w:hanging="360"/>
      </w:pPr>
      <w:rPr>
        <w:rFonts w:cs="Times New Roman" w:hint="default"/>
        <w:b w:val="0"/>
        <w:i w:val="0"/>
        <w:dstrike w:val="0"/>
      </w:rPr>
    </w:lvl>
    <w:lvl w:ilvl="1" w:tplc="04090019">
      <w:start w:val="1"/>
      <w:numFmt w:val="lowerLetter"/>
      <w:lvlText w:val="%2."/>
      <w:lvlJc w:val="left"/>
      <w:pPr>
        <w:ind w:left="2160" w:hanging="360"/>
      </w:pPr>
    </w:lvl>
    <w:lvl w:ilvl="2" w:tplc="299C8BB0">
      <w:start w:val="1"/>
      <w:numFmt w:val="lowerRoman"/>
      <w:lvlText w:val="(%3) "/>
      <w:lvlJc w:val="center"/>
      <w:pPr>
        <w:ind w:left="2880" w:hanging="180"/>
      </w:pPr>
      <w:rPr>
        <w:rFonts w:cs="Times New Roman" w:hint="default"/>
        <w:b w:val="0"/>
        <w:i w:val="0"/>
        <w:dstrike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53471497"/>
    <w:multiLevelType w:val="hybridMultilevel"/>
    <w:tmpl w:val="58844CDA"/>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E77538"/>
    <w:multiLevelType w:val="hybridMultilevel"/>
    <w:tmpl w:val="81480892"/>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0E07C2"/>
    <w:multiLevelType w:val="hybridMultilevel"/>
    <w:tmpl w:val="FD1251BA"/>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3E4738"/>
    <w:multiLevelType w:val="hybridMultilevel"/>
    <w:tmpl w:val="EE167ED8"/>
    <w:lvl w:ilvl="0" w:tplc="33546568">
      <w:start w:val="1"/>
      <w:numFmt w:val="lowerRoman"/>
      <w:lvlText w:val="(%1)"/>
      <w:lvlJc w:val="left"/>
      <w:pPr>
        <w:ind w:left="1440" w:hanging="360"/>
      </w:pPr>
      <w:rPr>
        <w:rFonts w:cs="Times New Roman" w:hint="default"/>
        <w:b w:val="0"/>
        <w:i w:val="0"/>
        <w:dstrike w:val="0"/>
        <w:spacing w:val="0"/>
        <w:w w:val="100"/>
        <w:kern w:val="0"/>
        <w:position w:val="0"/>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FE3478E"/>
    <w:multiLevelType w:val="hybridMultilevel"/>
    <w:tmpl w:val="C41E5B70"/>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452A32"/>
    <w:multiLevelType w:val="hybridMultilevel"/>
    <w:tmpl w:val="FF88B12A"/>
    <w:lvl w:ilvl="0" w:tplc="93D490B2">
      <w:start w:val="1"/>
      <w:numFmt w:val="decimal"/>
      <w:lvlText w:val="(%1)"/>
      <w:lvlJc w:val="left"/>
      <w:pPr>
        <w:ind w:left="1080" w:hanging="360"/>
      </w:pPr>
      <w:rPr>
        <w:rFonts w:cs="Times New Roman" w:hint="default"/>
        <w:b w:val="0"/>
        <w:i w:val="0"/>
        <w:dstrike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872654"/>
    <w:multiLevelType w:val="hybridMultilevel"/>
    <w:tmpl w:val="4CE68DB0"/>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863C81"/>
    <w:multiLevelType w:val="hybridMultilevel"/>
    <w:tmpl w:val="DC789BC2"/>
    <w:lvl w:ilvl="0" w:tplc="93D490B2">
      <w:start w:val="1"/>
      <w:numFmt w:val="decimal"/>
      <w:lvlText w:val="(%1)"/>
      <w:lvlJc w:val="left"/>
      <w:pPr>
        <w:ind w:left="1440" w:hanging="360"/>
      </w:pPr>
      <w:rPr>
        <w:rFonts w:cs="Times New Roman" w:hint="default"/>
        <w:b w:val="0"/>
        <w:i w:val="0"/>
        <w:dstrike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67893EF7"/>
    <w:multiLevelType w:val="hybridMultilevel"/>
    <w:tmpl w:val="4CB2C40E"/>
    <w:lvl w:ilvl="0" w:tplc="4BFC887A">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BFC887A">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5B6318"/>
    <w:multiLevelType w:val="hybridMultilevel"/>
    <w:tmpl w:val="AF84E0CC"/>
    <w:lvl w:ilvl="0" w:tplc="93D490B2">
      <w:start w:val="1"/>
      <w:numFmt w:val="decimal"/>
      <w:lvlText w:val="(%1)"/>
      <w:lvlJc w:val="left"/>
      <w:pPr>
        <w:ind w:left="1440" w:hanging="360"/>
      </w:pPr>
      <w:rPr>
        <w:rFonts w:cs="Times New Roman" w:hint="default"/>
        <w:b w:val="0"/>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C222AE0"/>
    <w:multiLevelType w:val="hybridMultilevel"/>
    <w:tmpl w:val="2744B152"/>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F8CC4B30">
      <w:start w:val="1"/>
      <w:numFmt w:val="lowerLetter"/>
      <w:lvlText w:val="(%3)"/>
      <w:lvlJc w:val="left"/>
      <w:pPr>
        <w:ind w:left="1800" w:hanging="180"/>
      </w:pPr>
      <w:rPr>
        <w:rFonts w:cs="Times New Roman" w:hint="default"/>
        <w:b w:val="0"/>
        <w:i w:val="0"/>
        <w:dstrike w:val="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C9A2BE3"/>
    <w:multiLevelType w:val="hybridMultilevel"/>
    <w:tmpl w:val="D7A0AFA2"/>
    <w:lvl w:ilvl="0" w:tplc="F8CC4B30">
      <w:start w:val="1"/>
      <w:numFmt w:val="lowerLetter"/>
      <w:lvlText w:val="(%1)"/>
      <w:lvlJc w:val="left"/>
      <w:pPr>
        <w:ind w:left="720" w:hanging="360"/>
      </w:pPr>
      <w:rPr>
        <w:rFonts w:cs="Times New Roman" w:hint="default"/>
        <w:b w:val="0"/>
        <w:i w:val="0"/>
        <w:dstrike w:val="0"/>
      </w:rPr>
    </w:lvl>
    <w:lvl w:ilvl="1" w:tplc="858E06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0A6EB0"/>
    <w:multiLevelType w:val="hybridMultilevel"/>
    <w:tmpl w:val="293C29AA"/>
    <w:lvl w:ilvl="0" w:tplc="93D490B2">
      <w:start w:val="1"/>
      <w:numFmt w:val="decimal"/>
      <w:lvlText w:val="(%1)"/>
      <w:lvlJc w:val="left"/>
      <w:pPr>
        <w:ind w:left="900" w:hanging="360"/>
      </w:pPr>
      <w:rPr>
        <w:rFonts w:cs="Times New Roman" w:hint="default"/>
        <w:b w:val="0"/>
        <w:i w:val="0"/>
        <w:dstrike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nsid w:val="76375DF6"/>
    <w:multiLevelType w:val="hybridMultilevel"/>
    <w:tmpl w:val="3ACAC2BC"/>
    <w:lvl w:ilvl="0" w:tplc="93D490B2">
      <w:start w:val="1"/>
      <w:numFmt w:val="decimal"/>
      <w:lvlText w:val="(%1)"/>
      <w:lvlJc w:val="left"/>
      <w:pPr>
        <w:ind w:left="720" w:hanging="360"/>
      </w:pPr>
      <w:rPr>
        <w:rFonts w:cs="Times New Roman" w:hint="default"/>
        <w:b w:val="0"/>
        <w:i w:val="0"/>
        <w:dstrike w:val="0"/>
      </w:rPr>
    </w:lvl>
    <w:lvl w:ilvl="1" w:tplc="04090019">
      <w:start w:val="1"/>
      <w:numFmt w:val="lowerLetter"/>
      <w:lvlText w:val="%2."/>
      <w:lvlJc w:val="left"/>
      <w:pPr>
        <w:ind w:left="1440" w:hanging="360"/>
      </w:pPr>
    </w:lvl>
    <w:lvl w:ilvl="2" w:tplc="563CC746">
      <w:start w:val="1"/>
      <w:numFmt w:val="lowerRoman"/>
      <w:lvlText w:val="(%3)"/>
      <w:lvlJc w:val="left"/>
      <w:pPr>
        <w:ind w:left="2970" w:hanging="99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965700D"/>
    <w:multiLevelType w:val="hybridMultilevel"/>
    <w:tmpl w:val="FE6AE456"/>
    <w:lvl w:ilvl="0" w:tplc="93D490B2">
      <w:start w:val="1"/>
      <w:numFmt w:val="decimal"/>
      <w:lvlText w:val="(%1)"/>
      <w:lvlJc w:val="left"/>
      <w:pPr>
        <w:ind w:left="720" w:hanging="360"/>
      </w:pPr>
      <w:rPr>
        <w:rFonts w:cs="Times New Roman" w:hint="default"/>
        <w:b w:val="0"/>
        <w:i w:val="0"/>
        <w:dstrike w:val="0"/>
      </w:rPr>
    </w:lvl>
    <w:lvl w:ilvl="1" w:tplc="93D490B2">
      <w:start w:val="1"/>
      <w:numFmt w:val="decimal"/>
      <w:lvlText w:val="(%2)"/>
      <w:lvlJc w:val="left"/>
      <w:pPr>
        <w:ind w:left="1440" w:hanging="360"/>
      </w:pPr>
      <w:rPr>
        <w:rFonts w:cs="Times New Roman" w:hint="default"/>
        <w:b w:val="0"/>
        <w:i w:val="0"/>
        <w:dstrike w:val="0"/>
      </w:rPr>
    </w:lvl>
    <w:lvl w:ilvl="2" w:tplc="5530A1E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180CE7"/>
    <w:multiLevelType w:val="hybridMultilevel"/>
    <w:tmpl w:val="74FE8E02"/>
    <w:lvl w:ilvl="0" w:tplc="F8CC4B30">
      <w:start w:val="1"/>
      <w:numFmt w:val="lowerLetter"/>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2F5ACA"/>
    <w:multiLevelType w:val="hybridMultilevel"/>
    <w:tmpl w:val="62364766"/>
    <w:lvl w:ilvl="0" w:tplc="93D490B2">
      <w:start w:val="1"/>
      <w:numFmt w:val="decimal"/>
      <w:lvlText w:val="(%1)"/>
      <w:lvlJc w:val="left"/>
      <w:pPr>
        <w:ind w:left="720" w:hanging="360"/>
      </w:pPr>
      <w:rPr>
        <w:rFonts w:cs="Times New Roman" w:hint="default"/>
        <w:b w:val="0"/>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D63141B"/>
    <w:multiLevelType w:val="hybridMultilevel"/>
    <w:tmpl w:val="05A86E50"/>
    <w:lvl w:ilvl="0" w:tplc="F8CC4B30">
      <w:start w:val="1"/>
      <w:numFmt w:val="lowerLetter"/>
      <w:lvlText w:val="(%1)"/>
      <w:lvlJc w:val="left"/>
      <w:pPr>
        <w:ind w:left="360" w:hanging="360"/>
      </w:pPr>
      <w:rPr>
        <w:rFonts w:cs="Times New Roman" w:hint="default"/>
        <w:b w:val="0"/>
        <w:i w:val="0"/>
        <w:dstrike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36"/>
  </w:num>
  <w:num w:numId="3">
    <w:abstractNumId w:val="2"/>
  </w:num>
  <w:num w:numId="4">
    <w:abstractNumId w:val="15"/>
  </w:num>
  <w:num w:numId="5">
    <w:abstractNumId w:val="10"/>
  </w:num>
  <w:num w:numId="6">
    <w:abstractNumId w:val="39"/>
  </w:num>
  <w:num w:numId="7">
    <w:abstractNumId w:val="35"/>
  </w:num>
  <w:num w:numId="8">
    <w:abstractNumId w:val="25"/>
  </w:num>
  <w:num w:numId="9">
    <w:abstractNumId w:val="31"/>
  </w:num>
  <w:num w:numId="10">
    <w:abstractNumId w:val="23"/>
  </w:num>
  <w:num w:numId="11">
    <w:abstractNumId w:val="1"/>
  </w:num>
  <w:num w:numId="12">
    <w:abstractNumId w:val="38"/>
  </w:num>
  <w:num w:numId="13">
    <w:abstractNumId w:val="19"/>
  </w:num>
  <w:num w:numId="14">
    <w:abstractNumId w:val="24"/>
  </w:num>
  <w:num w:numId="15">
    <w:abstractNumId w:val="12"/>
  </w:num>
  <w:num w:numId="16">
    <w:abstractNumId w:val="28"/>
  </w:num>
  <w:num w:numId="17">
    <w:abstractNumId w:val="7"/>
  </w:num>
  <w:num w:numId="18">
    <w:abstractNumId w:val="14"/>
  </w:num>
  <w:num w:numId="19">
    <w:abstractNumId w:val="27"/>
  </w:num>
  <w:num w:numId="20">
    <w:abstractNumId w:val="30"/>
  </w:num>
  <w:num w:numId="21">
    <w:abstractNumId w:val="0"/>
  </w:num>
  <w:num w:numId="22">
    <w:abstractNumId w:val="3"/>
  </w:num>
  <w:num w:numId="23">
    <w:abstractNumId w:val="22"/>
  </w:num>
  <w:num w:numId="24">
    <w:abstractNumId w:val="18"/>
  </w:num>
  <w:num w:numId="25">
    <w:abstractNumId w:val="40"/>
  </w:num>
  <w:num w:numId="26">
    <w:abstractNumId w:val="26"/>
  </w:num>
  <w:num w:numId="27">
    <w:abstractNumId w:val="17"/>
  </w:num>
  <w:num w:numId="28">
    <w:abstractNumId w:val="13"/>
  </w:num>
  <w:num w:numId="29">
    <w:abstractNumId w:val="6"/>
  </w:num>
  <w:num w:numId="30">
    <w:abstractNumId w:val="5"/>
  </w:num>
  <w:num w:numId="31">
    <w:abstractNumId w:val="16"/>
  </w:num>
  <w:num w:numId="32">
    <w:abstractNumId w:val="33"/>
  </w:num>
  <w:num w:numId="33">
    <w:abstractNumId w:val="34"/>
  </w:num>
  <w:num w:numId="34">
    <w:abstractNumId w:val="11"/>
  </w:num>
  <w:num w:numId="35">
    <w:abstractNumId w:val="8"/>
  </w:num>
  <w:num w:numId="36">
    <w:abstractNumId w:val="29"/>
  </w:num>
  <w:num w:numId="37">
    <w:abstractNumId w:val="20"/>
  </w:num>
  <w:num w:numId="38">
    <w:abstractNumId w:val="42"/>
  </w:num>
  <w:num w:numId="39">
    <w:abstractNumId w:val="32"/>
  </w:num>
  <w:num w:numId="40">
    <w:abstractNumId w:val="41"/>
  </w:num>
  <w:num w:numId="41">
    <w:abstractNumId w:val="21"/>
  </w:num>
  <w:num w:numId="42">
    <w:abstractNumId w:val="9"/>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6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7778"/>
    <w:rsid w:val="00021E52"/>
    <w:rsid w:val="000A5268"/>
    <w:rsid w:val="000F50EE"/>
    <w:rsid w:val="0012725E"/>
    <w:rsid w:val="001377B0"/>
    <w:rsid w:val="0014196C"/>
    <w:rsid w:val="001555CB"/>
    <w:rsid w:val="00167778"/>
    <w:rsid w:val="001A27D0"/>
    <w:rsid w:val="001B2121"/>
    <w:rsid w:val="001B3D43"/>
    <w:rsid w:val="001C634E"/>
    <w:rsid w:val="002734F7"/>
    <w:rsid w:val="00411A3A"/>
    <w:rsid w:val="00424BA8"/>
    <w:rsid w:val="00440712"/>
    <w:rsid w:val="004A63DE"/>
    <w:rsid w:val="004B074C"/>
    <w:rsid w:val="00514A77"/>
    <w:rsid w:val="00594201"/>
    <w:rsid w:val="006436E3"/>
    <w:rsid w:val="007663F7"/>
    <w:rsid w:val="007E0056"/>
    <w:rsid w:val="0082470E"/>
    <w:rsid w:val="008977ED"/>
    <w:rsid w:val="00897B19"/>
    <w:rsid w:val="008C26AA"/>
    <w:rsid w:val="009F684B"/>
    <w:rsid w:val="00A0288E"/>
    <w:rsid w:val="00A11312"/>
    <w:rsid w:val="00A366A9"/>
    <w:rsid w:val="00A460D8"/>
    <w:rsid w:val="00A86C65"/>
    <w:rsid w:val="00AF6FC4"/>
    <w:rsid w:val="00B0622F"/>
    <w:rsid w:val="00B43A23"/>
    <w:rsid w:val="00B57D34"/>
    <w:rsid w:val="00B91B7E"/>
    <w:rsid w:val="00BD3C3C"/>
    <w:rsid w:val="00C13CE1"/>
    <w:rsid w:val="00C44484"/>
    <w:rsid w:val="00CD4C9F"/>
    <w:rsid w:val="00D17AA8"/>
    <w:rsid w:val="00D50D87"/>
    <w:rsid w:val="00D61AF7"/>
    <w:rsid w:val="00DD1012"/>
    <w:rsid w:val="00DF0F1B"/>
    <w:rsid w:val="00DF3669"/>
    <w:rsid w:val="00E16A84"/>
    <w:rsid w:val="00E96054"/>
    <w:rsid w:val="00F14E64"/>
    <w:rsid w:val="00F36C6A"/>
    <w:rsid w:val="00F564ED"/>
    <w:rsid w:val="00F73EB3"/>
    <w:rsid w:val="00FA3FD5"/>
    <w:rsid w:val="00FC16E7"/>
    <w:rsid w:val="00FE3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206EB5F-FA3E-459B-A0B2-3D38B564D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720" w:firstLine="720"/>
      <w:outlineLvl w:val="0"/>
    </w:pPr>
    <w:rPr>
      <w:b/>
      <w:sz w:val="22"/>
    </w:rPr>
  </w:style>
  <w:style w:type="paragraph" w:styleId="Heading5">
    <w:name w:val="heading 5"/>
    <w:basedOn w:val="Normal"/>
    <w:next w:val="Normal"/>
    <w:link w:val="Heading5Char"/>
    <w:semiHidden/>
    <w:unhideWhenUsed/>
    <w:qFormat/>
    <w:rsid w:val="001C634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0" w:lineRule="auto"/>
      <w:ind w:firstLine="720"/>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styleId="NormalWeb">
    <w:name w:val="Normal (Web)"/>
    <w:basedOn w:val="Normal"/>
    <w:pPr>
      <w:spacing w:before="100" w:beforeAutospacing="1" w:after="100" w:afterAutospacing="1"/>
    </w:pPr>
    <w:rPr>
      <w:sz w:val="24"/>
      <w:szCs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customStyle="1" w:styleId="FooterChar">
    <w:name w:val="Footer Char"/>
    <w:basedOn w:val="DefaultParagraphFont"/>
    <w:link w:val="Footer"/>
    <w:rsid w:val="006436E3"/>
  </w:style>
  <w:style w:type="character" w:customStyle="1" w:styleId="HeaderChar">
    <w:name w:val="Header Char"/>
    <w:basedOn w:val="DefaultParagraphFont"/>
    <w:link w:val="Header"/>
    <w:rsid w:val="006436E3"/>
  </w:style>
  <w:style w:type="paragraph" w:styleId="ListParagraph">
    <w:name w:val="List Paragraph"/>
    <w:basedOn w:val="Normal"/>
    <w:uiPriority w:val="34"/>
    <w:qFormat/>
    <w:rsid w:val="004A63DE"/>
    <w:pPr>
      <w:ind w:left="720"/>
    </w:pPr>
  </w:style>
  <w:style w:type="character" w:customStyle="1" w:styleId="Heading5Char">
    <w:name w:val="Heading 5 Char"/>
    <w:link w:val="Heading5"/>
    <w:semiHidden/>
    <w:rsid w:val="001C634E"/>
    <w:rPr>
      <w:rFonts w:ascii="Calibri" w:eastAsia="Times New Roman" w:hAnsi="Calibri" w:cs="Times New Roman"/>
      <w:b/>
      <w:bCs/>
      <w:i/>
      <w:iCs/>
      <w:sz w:val="26"/>
      <w:szCs w:val="26"/>
    </w:rPr>
  </w:style>
  <w:style w:type="paragraph" w:styleId="Revision">
    <w:name w:val="Revision"/>
    <w:hidden/>
    <w:uiPriority w:val="99"/>
    <w:semiHidden/>
    <w:rsid w:val="0082470E"/>
  </w:style>
  <w:style w:type="paragraph" w:styleId="BalloonText">
    <w:name w:val="Balloon Text"/>
    <w:basedOn w:val="Normal"/>
    <w:link w:val="BalloonTextChar"/>
    <w:rsid w:val="0082470E"/>
    <w:rPr>
      <w:rFonts w:ascii="Segoe UI" w:hAnsi="Segoe UI" w:cs="Segoe UI"/>
      <w:sz w:val="18"/>
      <w:szCs w:val="18"/>
    </w:rPr>
  </w:style>
  <w:style w:type="character" w:customStyle="1" w:styleId="BalloonTextChar">
    <w:name w:val="Balloon Text Char"/>
    <w:basedOn w:val="DefaultParagraphFont"/>
    <w:link w:val="BalloonText"/>
    <w:rsid w:val="008247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018147">
      <w:bodyDiv w:val="1"/>
      <w:marLeft w:val="0"/>
      <w:marRight w:val="0"/>
      <w:marTop w:val="0"/>
      <w:marBottom w:val="0"/>
      <w:divBdr>
        <w:top w:val="none" w:sz="0" w:space="0" w:color="auto"/>
        <w:left w:val="none" w:sz="0" w:space="0" w:color="auto"/>
        <w:bottom w:val="none" w:sz="0" w:space="0" w:color="auto"/>
        <w:right w:val="none" w:sz="0" w:space="0" w:color="auto"/>
      </w:divBdr>
      <w:divsChild>
        <w:div w:id="2010719111">
          <w:marLeft w:val="0"/>
          <w:marRight w:val="0"/>
          <w:marTop w:val="0"/>
          <w:marBottom w:val="0"/>
          <w:divBdr>
            <w:top w:val="none" w:sz="0" w:space="0" w:color="auto"/>
            <w:left w:val="none" w:sz="0" w:space="0" w:color="auto"/>
            <w:bottom w:val="none" w:sz="0" w:space="0" w:color="auto"/>
            <w:right w:val="none" w:sz="0" w:space="0" w:color="auto"/>
          </w:divBdr>
          <w:divsChild>
            <w:div w:id="19244163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56D25-99FF-448C-9267-0A5A167C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5424</Words>
  <Characters>30919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[Last Updated 4/20/06] </vt:lpstr>
    </vt:vector>
  </TitlesOfParts>
  <Company>FDEP-DARM</Company>
  <LinksUpToDate>false</LinksUpToDate>
  <CharactersWithSpaces>36271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4/20/06]</dc:title>
  <dc:subject/>
  <dc:creator>Bull_R</dc:creator>
  <cp:keywords/>
  <dc:description/>
  <cp:lastModifiedBy>Hughes, Rhonda</cp:lastModifiedBy>
  <cp:revision>3</cp:revision>
  <cp:lastPrinted>2007-02-19T11:34:00Z</cp:lastPrinted>
  <dcterms:created xsi:type="dcterms:W3CDTF">2014-04-15T14:01:00Z</dcterms:created>
  <dcterms:modified xsi:type="dcterms:W3CDTF">2014-04-18T14:38:00Z</dcterms:modified>
</cp:coreProperties>
</file>